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478129217"/>
      <w:bookmarkStart w:id="1" w:name="_Toc11830"/>
    </w:p>
    <w:p>
      <w:pPr>
        <w:pStyle w:val="2"/>
        <w:jc w:val="center"/>
        <w:rPr>
          <w:rFonts w:hint="eastAsia"/>
        </w:rPr>
      </w:pPr>
      <w:r>
        <w:t>一、</w:t>
      </w:r>
      <w:r>
        <w:rPr>
          <w:rFonts w:hint="eastAsia"/>
          <w:lang w:val="en-US" w:eastAsia="zh-CN"/>
        </w:rPr>
        <w:t>绿都生物</w:t>
      </w:r>
      <w:bookmarkStart w:id="2" w:name="_GoBack"/>
      <w:bookmarkEnd w:id="2"/>
      <w:r>
        <w:t>食品安全快速检验车简介</w:t>
      </w:r>
      <w:bookmarkEnd w:id="0"/>
      <w:bookmarkEnd w:id="1"/>
    </w:p>
    <w:p>
      <w:pPr>
        <w:spacing w:line="240" w:lineRule="atLeast"/>
        <w:rPr>
          <w:rFonts w:asciiTheme="minorEastAsia" w:hAnsiTheme="minorEastAsia" w:eastAsiaTheme="minorEastAsia"/>
          <w:b/>
          <w:bCs/>
          <w:color w:val="000000" w:themeColor="text1"/>
          <w:sz w:val="28"/>
          <w:szCs w:val="28"/>
        </w:rPr>
      </w:pPr>
      <w:r>
        <w:rPr>
          <w:rFonts w:hint="eastAsia" w:cs="微软雅黑" w:asciiTheme="minorEastAsia" w:hAnsiTheme="minorEastAsia" w:eastAsiaTheme="minorEastAsia"/>
          <w:b/>
          <w:bCs/>
          <w:color w:val="000000" w:themeColor="text1"/>
          <w:sz w:val="28"/>
          <w:szCs w:val="28"/>
        </w:rPr>
        <w:t>1、食品安全快速检验车选型</w:t>
      </w:r>
    </w:p>
    <w:p>
      <w:pPr>
        <w:spacing w:line="240" w:lineRule="atLeast"/>
        <w:ind w:firstLine="480"/>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检测车选型满足</w:t>
      </w:r>
      <w:r>
        <w:rPr>
          <w:rFonts w:hint="eastAsia" w:asciiTheme="minorEastAsia" w:hAnsiTheme="minorEastAsia" w:eastAsiaTheme="minorEastAsia"/>
          <w:sz w:val="28"/>
          <w:szCs w:val="28"/>
        </w:rPr>
        <w:t>：</w:t>
      </w:r>
      <w:r>
        <w:rPr>
          <w:rFonts w:hint="eastAsia" w:cs="微软雅黑" w:asciiTheme="minorEastAsia" w:hAnsiTheme="minorEastAsia" w:eastAsiaTheme="minorEastAsia"/>
          <w:color w:val="222222"/>
          <w:sz w:val="28"/>
          <w:szCs w:val="28"/>
        </w:rPr>
        <w:t>国家总局《关于做好县级食品快速检验车配备工作的通知》、食药监办财〔2016〕121号《食品药品监管总局办公厅关于做好县级食品快速检验车配备工作的通知》、《县级食品安全快速检验车装备细化方案》中对食品安全快检车的相关参数要求。</w:t>
      </w:r>
    </w:p>
    <w:p>
      <w:pPr>
        <w:spacing w:line="240" w:lineRule="atLeast"/>
        <w:rPr>
          <w:rFonts w:asciiTheme="minorEastAsia" w:hAnsiTheme="minorEastAsia" w:eastAsiaTheme="minorEastAsia"/>
          <w:b/>
          <w:bCs/>
          <w:color w:val="000000" w:themeColor="text1"/>
          <w:sz w:val="28"/>
          <w:szCs w:val="28"/>
        </w:rPr>
      </w:pPr>
      <w:r>
        <w:rPr>
          <w:rFonts w:hint="eastAsia" w:cs="微软雅黑" w:asciiTheme="minorEastAsia" w:hAnsiTheme="minorEastAsia" w:eastAsiaTheme="minorEastAsia"/>
          <w:b/>
          <w:bCs/>
          <w:color w:val="000000" w:themeColor="text1"/>
          <w:sz w:val="28"/>
          <w:szCs w:val="28"/>
        </w:rPr>
        <w:t>2、食品安全快速检测车的性能和配置</w:t>
      </w:r>
    </w:p>
    <w:p>
      <w:pPr>
        <w:spacing w:line="240" w:lineRule="atLeast"/>
        <w:ind w:firstLine="480"/>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移动检测车具有较好的越野性能，具备快速检测、辅助决策的功能，选用具有良好抗震能力的仪器固定安放在具有减震抗颠簸设施的实验台上；充分利用车内空间，设计多功能实验操作台，既容纳了实验仪器，又扩充了实验操作空间。配置含有可与国家质量安全监管平台无缝对接的笔记本电脑、各类检测试剂、实验器具、通风柜、污物桶、水电、空调、超声波振荡器、电子天平等。</w:t>
      </w:r>
    </w:p>
    <w:p>
      <w:pPr>
        <w:spacing w:line="560" w:lineRule="exact"/>
        <w:ind w:firstLine="560" w:firstLineChars="200"/>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根据各地使用情况的不同，食品安全快速检验车分为“简便快捷型”、“基本功能型”、“标准功能型”3类。其中：“简便快捷型”以小型车为基础进行改装；“基本功能型”以小型巴士为基础进行改装；“标准功能型”以中型巴士为基础进行改装。</w:t>
      </w:r>
    </w:p>
    <w:p>
      <w:pPr>
        <w:spacing w:line="240" w:lineRule="atLeast"/>
        <w:rPr>
          <w:rFonts w:cs="微软雅黑" w:asciiTheme="minorEastAsia" w:hAnsiTheme="minorEastAsia" w:eastAsiaTheme="minorEastAsia"/>
          <w:b/>
          <w:bCs/>
          <w:color w:val="000000" w:themeColor="text1"/>
          <w:sz w:val="28"/>
          <w:szCs w:val="28"/>
        </w:rPr>
      </w:pPr>
      <w:r>
        <w:rPr>
          <w:rFonts w:hint="eastAsia" w:cs="微软雅黑" w:asciiTheme="minorEastAsia" w:hAnsiTheme="minorEastAsia" w:eastAsiaTheme="minorEastAsia"/>
          <w:b/>
          <w:bCs/>
          <w:color w:val="000000" w:themeColor="text1"/>
          <w:sz w:val="28"/>
          <w:szCs w:val="28"/>
        </w:rPr>
        <w:t>3、食品安全快速检验车在食品检验中的优势</w:t>
      </w:r>
    </w:p>
    <w:p>
      <w:pPr>
        <w:spacing w:line="240" w:lineRule="atLeast"/>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（1）时效快、无地域限制</w:t>
      </w:r>
    </w:p>
    <w:p>
      <w:pPr>
        <w:spacing w:line="240" w:lineRule="atLeast"/>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 xml:space="preserve">    传统的检测过程繁琐，需送到专门的检测机构，难以实现信息的及时共享。</w:t>
      </w:r>
    </w:p>
    <w:p>
      <w:pPr>
        <w:spacing w:line="240" w:lineRule="atLeast"/>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 xml:space="preserve">    移动检测车方便快捷，可直接到达现场，就地取材，现场检测，时间大幅缩短，且具有良好的3G/4G无线传输功能。提升用户针对偏远地区的检测能力并覆盖更多的区域范围，帮助用户完善紧急安全事件的响应与决策能力；</w:t>
      </w:r>
    </w:p>
    <w:p>
      <w:pPr>
        <w:spacing w:line="240" w:lineRule="atLeast"/>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（2）操作方便，灵活实用</w:t>
      </w:r>
    </w:p>
    <w:p>
      <w:pPr>
        <w:spacing w:line="240" w:lineRule="atLeast"/>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 xml:space="preserve">    传统的食品检测方式笨重、繁琐、检测形式单一，场地有限，对于食品的检测需要经过很多漫长的分析验证过程，耽误反馈的最佳时间。</w:t>
      </w:r>
    </w:p>
    <w:p>
      <w:pPr>
        <w:spacing w:line="240" w:lineRule="atLeast"/>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 xml:space="preserve">    移动检测车能够很好地利用高科技信息系统，多种检测仪器设备，快速筛查核对，发现潜在假劣食品。使得薄层色谱分析技术、分光光度技术、干式化学分析技术、电化学阳极溶出伏安法、荧光分析技术等五种快速检测分析方法得到优越发挥。无技术背景的用户同样可获取精准可信赖的检测结果；</w:t>
      </w:r>
    </w:p>
    <w:p>
      <w:pPr>
        <w:spacing w:line="240" w:lineRule="atLeast"/>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（3）应用范围广</w:t>
      </w:r>
    </w:p>
    <w:p>
      <w:pPr>
        <w:spacing w:line="240" w:lineRule="atLeast"/>
        <w:ind w:firstLine="480"/>
        <w:rPr>
          <w:rFonts w:cs="微软雅黑" w:asciiTheme="minorEastAsia" w:hAnsiTheme="minorEastAsia" w:eastAsiaTheme="minorEastAsia"/>
          <w:color w:val="222222"/>
          <w:sz w:val="28"/>
          <w:szCs w:val="28"/>
        </w:rPr>
      </w:pPr>
      <w:r>
        <w:rPr>
          <w:rFonts w:hint="eastAsia" w:cs="微软雅黑" w:asciiTheme="minorEastAsia" w:hAnsiTheme="minorEastAsia" w:eastAsiaTheme="minorEastAsia"/>
          <w:color w:val="222222"/>
          <w:sz w:val="28"/>
          <w:szCs w:val="28"/>
        </w:rPr>
        <w:t xml:space="preserve"> 移动检测车可广泛用于超市、大小型农贸市场、果蔬批发基地、农场、出口食品收购加工点、出口果蔬生产基地、农产品收购加工站等场所的食品和农副产品安全监测。同时将工商、质监、卫生等市场监督部门的质量监管职能有机的集于一体，为政府实施放心工程提供强有力的技术支撑。</w:t>
      </w:r>
    </w:p>
    <w:p>
      <w:pPr>
        <w:pStyle w:val="3"/>
        <w:jc w:val="center"/>
        <w:rPr>
          <w:b w:val="0"/>
        </w:rPr>
      </w:pPr>
      <w:r>
        <w:rPr>
          <w:rFonts w:hint="eastAsia"/>
          <w:b w:val="0"/>
        </w:rPr>
        <w:t>检测车车体内部改装样式</w:t>
      </w:r>
    </w:p>
    <w:p>
      <w:pPr>
        <w:rPr>
          <w:rFonts w:ascii="宋体" w:hAnsi="宋体"/>
          <w:b/>
          <w:szCs w:val="21"/>
          <w:u w:val="single"/>
        </w:rPr>
      </w:pPr>
      <w:r>
        <w:drawing>
          <wp:inline distT="0" distB="0" distL="0" distR="0">
            <wp:extent cx="2876550" cy="2324100"/>
            <wp:effectExtent l="19050" t="0" r="0" b="0"/>
            <wp:docPr id="20"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8"/>
                    <pic:cNvPicPr>
                      <a:picLocks noChangeAspect="1" noChangeArrowheads="1"/>
                    </pic:cNvPicPr>
                  </pic:nvPicPr>
                  <pic:blipFill>
                    <a:blip r:embed="rId5" cstate="print"/>
                    <a:srcRect/>
                    <a:stretch>
                      <a:fillRect/>
                    </a:stretch>
                  </pic:blipFill>
                  <pic:spPr>
                    <a:xfrm>
                      <a:off x="0" y="0"/>
                      <a:ext cx="2876550" cy="2324100"/>
                    </a:xfrm>
                    <a:prstGeom prst="rect">
                      <a:avLst/>
                    </a:prstGeom>
                    <a:noFill/>
                    <a:ln w="9525">
                      <a:noFill/>
                      <a:miter lim="800000"/>
                      <a:headEnd/>
                      <a:tailEnd/>
                    </a:ln>
                  </pic:spPr>
                </pic:pic>
              </a:graphicData>
            </a:graphic>
          </wp:inline>
        </w:drawing>
      </w:r>
      <w:r>
        <w:drawing>
          <wp:inline distT="0" distB="0" distL="0" distR="0">
            <wp:extent cx="2876550" cy="2343150"/>
            <wp:effectExtent l="19050" t="0" r="0" b="0"/>
            <wp:docPr id="21"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9"/>
                    <pic:cNvPicPr>
                      <a:picLocks noChangeAspect="1" noChangeArrowheads="1"/>
                    </pic:cNvPicPr>
                  </pic:nvPicPr>
                  <pic:blipFill>
                    <a:blip r:embed="rId6" cstate="print">
                      <a:lum bright="26000"/>
                    </a:blip>
                    <a:srcRect/>
                    <a:stretch>
                      <a:fillRect/>
                    </a:stretch>
                  </pic:blipFill>
                  <pic:spPr>
                    <a:xfrm>
                      <a:off x="0" y="0"/>
                      <a:ext cx="2876550" cy="2343150"/>
                    </a:xfrm>
                    <a:prstGeom prst="rect">
                      <a:avLst/>
                    </a:prstGeom>
                    <a:noFill/>
                    <a:ln w="9525">
                      <a:noFill/>
                      <a:miter lim="800000"/>
                      <a:headEnd/>
                      <a:tailEnd/>
                    </a:ln>
                  </pic:spPr>
                </pic:pic>
              </a:graphicData>
            </a:graphic>
          </wp:inline>
        </w:drawing>
      </w:r>
      <w:r>
        <w:rPr>
          <w:rFonts w:hint="eastAsia" w:ascii="宋体" w:hAnsi="宋体"/>
          <w:b/>
          <w:szCs w:val="21"/>
          <w:u w:val="single"/>
        </w:rPr>
        <w:t xml:space="preserve"> </w:t>
      </w:r>
      <w:r>
        <w:rPr>
          <w:rFonts w:ascii="宋体" w:hAnsi="宋体"/>
          <w:b/>
          <w:szCs w:val="21"/>
          <w:u w:val="single"/>
        </w:rPr>
        <w:drawing>
          <wp:inline distT="0" distB="0" distL="0" distR="0">
            <wp:extent cx="2905125" cy="2343150"/>
            <wp:effectExtent l="19050" t="0" r="9525" b="0"/>
            <wp:docPr id="6"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9"/>
                    <pic:cNvPicPr>
                      <a:picLocks noChangeAspect="1" noChangeArrowheads="1"/>
                    </pic:cNvPicPr>
                  </pic:nvPicPr>
                  <pic:blipFill>
                    <a:blip r:embed="rId7" cstate="print"/>
                    <a:srcRect/>
                    <a:stretch>
                      <a:fillRect/>
                    </a:stretch>
                  </pic:blipFill>
                  <pic:spPr>
                    <a:xfrm>
                      <a:off x="0" y="0"/>
                      <a:ext cx="2905125" cy="2343150"/>
                    </a:xfrm>
                    <a:prstGeom prst="rect">
                      <a:avLst/>
                    </a:prstGeom>
                    <a:noFill/>
                    <a:ln w="9525">
                      <a:noFill/>
                      <a:miter lim="800000"/>
                      <a:headEnd/>
                      <a:tailEnd/>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2847975" cy="2057400"/>
            <wp:effectExtent l="19050" t="0" r="9525" b="0"/>
            <wp:docPr id="5"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8"/>
                    <pic:cNvPicPr>
                      <a:picLocks noChangeAspect="1" noChangeArrowheads="1"/>
                    </pic:cNvPicPr>
                  </pic:nvPicPr>
                  <pic:blipFill>
                    <a:blip r:embed="rId8" cstate="print"/>
                    <a:srcRect/>
                    <a:stretch>
                      <a:fillRect/>
                    </a:stretch>
                  </pic:blipFill>
                  <pic:spPr>
                    <a:xfrm>
                      <a:off x="0" y="0"/>
                      <a:ext cx="2847975" cy="2057400"/>
                    </a:xfrm>
                    <a:prstGeom prst="rect">
                      <a:avLst/>
                    </a:prstGeom>
                    <a:noFill/>
                    <a:ln w="9525">
                      <a:noFill/>
                      <a:miter lim="800000"/>
                      <a:headEnd/>
                      <a:tailEnd/>
                    </a:ln>
                  </pic:spPr>
                </pic:pic>
              </a:graphicData>
            </a:graphic>
          </wp:inline>
        </w:drawing>
      </w:r>
      <w:r>
        <w:rPr>
          <w:rFonts w:ascii="宋体" w:hAnsi="宋体" w:cs="宋体"/>
          <w:kern w:val="0"/>
          <w:sz w:val="24"/>
        </w:rPr>
        <w:drawing>
          <wp:inline distT="0" distB="0" distL="0" distR="0">
            <wp:extent cx="2933700" cy="2076450"/>
            <wp:effectExtent l="19050" t="0" r="0" b="0"/>
            <wp:docPr id="7"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5"/>
                    <pic:cNvPicPr>
                      <a:picLocks noChangeAspect="1" noChangeArrowheads="1"/>
                    </pic:cNvPicPr>
                  </pic:nvPicPr>
                  <pic:blipFill>
                    <a:blip r:embed="rId9" cstate="print"/>
                    <a:srcRect/>
                    <a:stretch>
                      <a:fillRect/>
                    </a:stretch>
                  </pic:blipFill>
                  <pic:spPr>
                    <a:xfrm>
                      <a:off x="0" y="0"/>
                      <a:ext cx="2933700" cy="2076450"/>
                    </a:xfrm>
                    <a:prstGeom prst="rect">
                      <a:avLst/>
                    </a:prstGeom>
                    <a:noFill/>
                    <a:ln w="9525">
                      <a:noFill/>
                      <a:miter lim="800000"/>
                      <a:headEnd/>
                      <a:tailEnd/>
                    </a:ln>
                  </pic:spPr>
                </pic:pic>
              </a:graphicData>
            </a:graphic>
          </wp:inline>
        </w:drawing>
      </w:r>
      <w:r>
        <w:rPr>
          <w:rFonts w:ascii="宋体" w:hAnsi="宋体" w:cs="宋体"/>
          <w:kern w:val="0"/>
          <w:sz w:val="24"/>
        </w:rPr>
        <w:drawing>
          <wp:inline distT="0" distB="0" distL="0" distR="0">
            <wp:extent cx="2971800" cy="2076450"/>
            <wp:effectExtent l="19050" t="0" r="0" b="0"/>
            <wp:docPr id="8"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6"/>
                    <pic:cNvPicPr>
                      <a:picLocks noChangeAspect="1" noChangeArrowheads="1"/>
                    </pic:cNvPicPr>
                  </pic:nvPicPr>
                  <pic:blipFill>
                    <a:blip r:embed="rId10" cstate="print"/>
                    <a:srcRect/>
                    <a:stretch>
                      <a:fillRect/>
                    </a:stretch>
                  </pic:blipFill>
                  <pic:spPr>
                    <a:xfrm>
                      <a:off x="0" y="0"/>
                      <a:ext cx="2971800" cy="2076450"/>
                    </a:xfrm>
                    <a:prstGeom prst="rect">
                      <a:avLst/>
                    </a:prstGeom>
                    <a:noFill/>
                    <a:ln w="9525">
                      <a:noFill/>
                      <a:miter lim="800000"/>
                      <a:headEnd/>
                      <a:tailEnd/>
                    </a:ln>
                  </pic:spPr>
                </pic:pic>
              </a:graphicData>
            </a:graphic>
          </wp:inline>
        </w:drawing>
      </w:r>
    </w:p>
    <w:p>
      <w:pPr>
        <w:rPr>
          <w:sz w:val="28"/>
          <w:szCs w:val="28"/>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147"/>
        <w:tab w:val="center" w:pos="7651"/>
      </w:tabs>
      <w:spacing w:line="323" w:lineRule="auto"/>
      <w:ind w:right="120"/>
      <w:jc w:val="left"/>
      <w:rPr>
        <w:rFonts w:ascii="楷体_GB2312" w:hAnsi="楷体_GB2312" w:eastAsia="楷体_GB2312"/>
        <w:b/>
        <w:color w:val="006600"/>
        <w:sz w:val="36"/>
      </w:rPr>
    </w:pPr>
    <w:r>
      <w:drawing>
        <wp:inline distT="0" distB="0" distL="114300" distR="114300">
          <wp:extent cx="758190" cy="546735"/>
          <wp:effectExtent l="0" t="0" r="825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758190" cy="546735"/>
                  </a:xfrm>
                  <a:prstGeom prst="rect">
                    <a:avLst/>
                  </a:prstGeom>
                  <a:noFill/>
                  <a:ln w="9525">
                    <a:noFill/>
                  </a:ln>
                </pic:spPr>
              </pic:pic>
            </a:graphicData>
          </a:graphic>
        </wp:inline>
      </w:drawing>
    </w:r>
    <w:r>
      <w:rPr>
        <w:rFonts w:ascii="楷体_GB2312" w:hAnsi="楷体_GB2312" w:eastAsia="楷体_GB2312"/>
        <w:b/>
        <w:color w:val="006600"/>
        <w:sz w:val="36"/>
      </w:rPr>
      <w:t xml:space="preserve"> </w:t>
    </w:r>
    <w:r>
      <w:rPr>
        <w:rFonts w:hint="eastAsia" w:ascii="楷体_GB2312" w:hAnsi="楷体_GB2312" w:eastAsia="楷体_GB2312"/>
        <w:b/>
        <w:color w:val="006600"/>
        <w:sz w:val="36"/>
        <w:lang w:val="en-US" w:eastAsia="zh-CN"/>
      </w:rPr>
      <w:t xml:space="preserve">      </w:t>
    </w:r>
    <w:r>
      <w:rPr>
        <w:rFonts w:ascii="楷体_GB2312" w:hAnsi="楷体_GB2312" w:eastAsia="楷体_GB2312"/>
        <w:b/>
        <w:color w:val="006600"/>
        <w:sz w:val="36"/>
      </w:rPr>
      <w:t>山东绿都生物科技有限公司</w:t>
    </w:r>
  </w:p>
  <w:p>
    <w:pPr>
      <w:spacing w:line="323" w:lineRule="auto"/>
      <w:ind w:left="280" w:right="-13" w:hanging="179"/>
      <w:jc w:val="both"/>
      <w:rPr>
        <w:rFonts w:ascii="楷体_GB2312" w:hAnsi="楷体_GB2312" w:eastAsia="楷体_GB2312"/>
        <w:b/>
        <w:color w:val="006600"/>
        <w:sz w:val="30"/>
        <w:szCs w:val="30"/>
      </w:rPr>
    </w:pPr>
    <w:r>
      <w:rPr>
        <w:rFonts w:ascii="楷体_GB2312" w:hAnsi="楷体_GB2312" w:eastAsia="楷体_GB2312"/>
        <w:b/>
        <w:color w:val="006600"/>
        <w:sz w:val="30"/>
        <w:szCs w:val="30"/>
      </w:rPr>
      <w:t>Shandong Lvdu Bio-Sciences&amp;Technology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393A"/>
    <w:rsid w:val="002B2055"/>
    <w:rsid w:val="00437899"/>
    <w:rsid w:val="004434D6"/>
    <w:rsid w:val="00617092"/>
    <w:rsid w:val="006A30D5"/>
    <w:rsid w:val="007013B0"/>
    <w:rsid w:val="00861A5D"/>
    <w:rsid w:val="00895860"/>
    <w:rsid w:val="00937ABE"/>
    <w:rsid w:val="009A7C60"/>
    <w:rsid w:val="00A1375B"/>
    <w:rsid w:val="00B359C5"/>
    <w:rsid w:val="00BB171D"/>
    <w:rsid w:val="00C35ACD"/>
    <w:rsid w:val="00C70B47"/>
    <w:rsid w:val="00CF76A3"/>
    <w:rsid w:val="00E166E1"/>
    <w:rsid w:val="00E6393A"/>
    <w:rsid w:val="00E86BD1"/>
    <w:rsid w:val="19B85550"/>
    <w:rsid w:val="556C292B"/>
    <w:rsid w:val="6F1470EB"/>
    <w:rsid w:val="6FBC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14"/>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alloon Text"/>
    <w:basedOn w:val="1"/>
    <w:link w:val="15"/>
    <w:semiHidden/>
    <w:unhideWhenUsed/>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2">
    <w:name w:val="页眉 Char"/>
    <w:basedOn w:val="8"/>
    <w:link w:val="7"/>
    <w:semiHidden/>
    <w:qFormat/>
    <w:uiPriority w:val="99"/>
    <w:rPr>
      <w:sz w:val="18"/>
      <w:szCs w:val="18"/>
    </w:rPr>
  </w:style>
  <w:style w:type="character" w:customStyle="1" w:styleId="13">
    <w:name w:val="页脚 Char"/>
    <w:basedOn w:val="8"/>
    <w:link w:val="6"/>
    <w:semiHidden/>
    <w:uiPriority w:val="99"/>
    <w:rPr>
      <w:sz w:val="18"/>
      <w:szCs w:val="18"/>
    </w:rPr>
  </w:style>
  <w:style w:type="character" w:customStyle="1" w:styleId="14">
    <w:name w:val="标题 2 Char"/>
    <w:basedOn w:val="8"/>
    <w:link w:val="3"/>
    <w:qFormat/>
    <w:uiPriority w:val="0"/>
    <w:rPr>
      <w:rFonts w:ascii="Cambria" w:hAnsi="Cambria" w:eastAsia="宋体" w:cs="Times New Roman"/>
      <w:b/>
      <w:bCs/>
      <w:sz w:val="32"/>
      <w:szCs w:val="32"/>
    </w:rPr>
  </w:style>
  <w:style w:type="character" w:customStyle="1" w:styleId="15">
    <w:name w:val="批注框文本 Char"/>
    <w:basedOn w:val="8"/>
    <w:link w:val="5"/>
    <w:semiHidden/>
    <w:uiPriority w:val="99"/>
    <w:rPr>
      <w:rFonts w:ascii="Times New Roman" w:hAnsi="Times New Roman" w:eastAsia="宋体" w:cs="Times New Roman"/>
      <w:sz w:val="18"/>
      <w:szCs w:val="18"/>
    </w:rPr>
  </w:style>
  <w:style w:type="character" w:customStyle="1" w:styleId="16">
    <w:name w:val="klink"/>
    <w:basedOn w:val="8"/>
    <w:qFormat/>
    <w:uiPriority w:val="0"/>
  </w:style>
  <w:style w:type="character" w:customStyle="1" w:styleId="17">
    <w:name w:val="标题 1 Char"/>
    <w:basedOn w:val="8"/>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149</Words>
  <Characters>851</Characters>
  <Lines>7</Lines>
  <Paragraphs>1</Paragraphs>
  <TotalTime>1</TotalTime>
  <ScaleCrop>false</ScaleCrop>
  <LinksUpToDate>false</LinksUpToDate>
  <CharactersWithSpaces>999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2018-12-29T04:20:00Z</dcterms:created>
  <dc:creator>Administrator</dc:creator>
  <cp:lastModifiedBy>栀子花开</cp:lastModifiedBy>
  <dcterms:modified xsi:type="dcterms:W3CDTF">2019-01-09T03:34:01Z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