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hint="default" w:ascii="Times New Roman" w:hAnsi="Times New Roman" w:eastAsia="Times New Roman" w:cs="Times New Roman"/>
          <w:sz w:val="24"/>
        </w:rPr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8000"/>
          <w:sz w:val="30"/>
        </w:rPr>
      </w:pPr>
      <w:r>
        <w:rPr>
          <w:rFonts w:hint="default" w:ascii="Times New Roman" w:hAnsi="Times New Roman" w:eastAsia="宋体" w:cs="Times New Roman"/>
          <w:b/>
          <w:bCs/>
          <w:color w:val="008000"/>
          <w:sz w:val="30"/>
          <w:lang w:eastAsia="zh-CN"/>
        </w:rPr>
        <w:t>抗体细纯化试剂盒</w:t>
      </w:r>
      <w:r>
        <w:rPr>
          <w:rFonts w:hint="default" w:ascii="Times New Roman" w:hAnsi="Times New Roman" w:eastAsia="宋体" w:cs="Times New Roman"/>
          <w:b/>
          <w:bCs/>
          <w:color w:val="008000"/>
          <w:sz w:val="30"/>
        </w:rPr>
        <w:t>说明书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8000"/>
          <w:sz w:val="24"/>
          <w:szCs w:val="24"/>
        </w:rPr>
        <w:t>产品编号：</w:t>
      </w:r>
      <w:r>
        <w:rPr>
          <w:rFonts w:hint="default" w:ascii="Times New Roman" w:hAnsi="Times New Roman" w:eastAsia="宋体" w:cs="Times New Roman"/>
          <w:b/>
          <w:bCs/>
          <w:color w:val="008000"/>
          <w:sz w:val="24"/>
          <w:szCs w:val="24"/>
          <w:lang w:val="en-US" w:eastAsia="zh-CN"/>
        </w:rPr>
        <w:t>KC-</w:t>
      </w:r>
      <w:r>
        <w:rPr>
          <w:rFonts w:hint="default" w:ascii="Times New Roman" w:hAnsi="Times New Roman" w:eastAsia="宋体" w:cs="Times New Roman"/>
          <w:b/>
          <w:bCs/>
          <w:color w:val="008000"/>
          <w:sz w:val="24"/>
          <w:szCs w:val="24"/>
        </w:rPr>
        <w:t>0</w:t>
      </w:r>
      <w:r>
        <w:rPr>
          <w:rFonts w:hint="default" w:ascii="Times New Roman" w:hAnsi="Times New Roman" w:eastAsia="宋体" w:cs="Times New Roman"/>
          <w:b/>
          <w:bCs/>
          <w:color w:val="008000"/>
          <w:sz w:val="24"/>
          <w:szCs w:val="24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/>
          <w:bCs/>
          <w:color w:val="008000"/>
          <w:sz w:val="24"/>
          <w:szCs w:val="24"/>
          <w:lang w:val="en-US" w:eastAsia="zh-CN"/>
        </w:rPr>
        <w:t>-1ML</w:t>
      </w:r>
      <w:r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  <w:t xml:space="preserve">           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原理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本试剂盒采用Protein A和protein G纯化法。Protein A/G 可以和抗体IgG分子的Fc段特异性结合。Protein A/G 作为配基可以被偶联到琼脂糖凝胶上，当抗血清从中流过时，特异性的IgG就与配基结合，其他杂蛋白则穿流而过。因两种蛋白纯化抗体时对不同宿主的抗体的结合能力不同，需要具体选择protein A 或者protein G，或者是protein A/protein G组合。一般推荐小鼠单抗IgG2a，IgG2b，IgG3，兔，人，猪的多克隆抗体用protein A纯化，而小鼠单抗IgG1，大鼠单抗，小鼠，大鼠，山羊的多克隆抗体则选择用protein G纯化。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产品特点</w:t>
      </w:r>
    </w:p>
    <w:p>
      <w:pPr>
        <w:numPr>
          <w:ilvl w:val="0"/>
          <w:numId w:val="2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试剂盒内含有分析所需的所有必需试剂，操作简单便捷；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试剂盒内组分经实验优化，确保更高的检测灵敏度；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保存条件：2-8</w:t>
      </w:r>
      <w:r>
        <w:rPr>
          <w:rFonts w:hint="eastAsia" w:ascii="宋体" w:hAnsi="宋体" w:eastAsia="宋体" w:cs="宋体"/>
          <w:sz w:val="28"/>
          <w:szCs w:val="28"/>
        </w:rPr>
        <w:t>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规格：待纯化抗体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1-5ml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三、所需材料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仪器：离心管（1.5 mL、50mL）、0.45µm滤膜、注射器、气流控制器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试剂：去离子水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 试剂盒组成</w:t>
      </w:r>
    </w:p>
    <w:tbl>
      <w:tblPr>
        <w:tblStyle w:val="5"/>
        <w:tblW w:w="4401" w:type="dxa"/>
        <w:jc w:val="center"/>
        <w:tblInd w:w="-709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610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组成部分</w:t>
            </w:r>
          </w:p>
        </w:tc>
        <w:tc>
          <w:tcPr>
            <w:tcW w:w="161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装量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A柱</w:t>
            </w:r>
          </w:p>
        </w:tc>
        <w:tc>
          <w:tcPr>
            <w:tcW w:w="161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1ml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B液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50ml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C液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 mL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D液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 mL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E液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 mL</w:t>
            </w:r>
          </w:p>
        </w:tc>
      </w:tr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F液</w:t>
            </w:r>
          </w:p>
        </w:tc>
        <w:tc>
          <w:tcPr>
            <w:tcW w:w="16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 mL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纯化步骤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样品准备：将抗血清与B液1:5混合，用0.45µm滤膜过滤（防止堵塞柱子）。</w:t>
      </w:r>
    </w:p>
    <w:p>
      <w:pPr>
        <w:numPr>
          <w:ilvl w:val="0"/>
          <w:numId w:val="4"/>
        </w:num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平衡柱子：用10mL去离子水洗去F液，再用5-10倍体积的B液过A柱。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上样：将准备好的血清样品上样，控制流速20s/滴。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洗脱杂蛋白：用B液洗柱子，直至结合液中不含蛋白。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收集抗体：用C液过柱，同时收集漏出液(约0.5-1m1/管)， 直至漏出液中不含蛋白。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测定各收集管中的蛋白含量，合并蛋白管。（注意：收集管中需事先加入约10-200u1的D液，防止抗体在过酸的环境下失活）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柱子再生：用5-10倍体积的E液再生柱子。</w:t>
      </w:r>
    </w:p>
    <w:p>
      <w:pPr>
        <w:numPr>
          <w:ilvl w:val="0"/>
          <w:numId w:val="4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PBS 透析收集的抗体。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注意事项</w:t>
      </w:r>
    </w:p>
    <w:p>
      <w:pPr>
        <w:numPr>
          <w:ilvl w:val="0"/>
          <w:numId w:val="5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待纯化抗血清及试剂盒溶液根据体积大小需要回温1-3小时。</w:t>
      </w:r>
    </w:p>
    <w:p>
      <w:pPr>
        <w:numPr>
          <w:ilvl w:val="0"/>
          <w:numId w:val="5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根据柱子的结合能力考虑上样量的体积。</w:t>
      </w:r>
    </w:p>
    <w:p>
      <w:pPr>
        <w:numPr>
          <w:ilvl w:val="0"/>
          <w:numId w:val="5"/>
        </w:numPr>
        <w:spacing w:line="360" w:lineRule="auto"/>
        <w:ind w:leftChars="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将所纯化的抗体加入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0%-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0%的甘油置于-20摄氏度或者-80摄氏度即可长期保存。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9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380490" cy="1200150"/>
          <wp:effectExtent l="0" t="0" r="10160" b="0"/>
          <wp:docPr id="1" name="图片 1" descr="C:\Documents and Settings\Administrator\桌面\于金枝\lan du-标志1(1)-wps图片.jpglan du-标志1(1)-wps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Documents and Settings\Administrator\桌面\于金枝\lan du-标志1(1)-wps图片.jpglan du-标志1(1)-wps图片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490" cy="1200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val="en-US" w:eastAsia="zh-CN"/>
      </w:rPr>
      <w:t xml:space="preserve">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FEC5F8"/>
    <w:multiLevelType w:val="singleLevel"/>
    <w:tmpl w:val="BEFEC5F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7A47500"/>
    <w:multiLevelType w:val="singleLevel"/>
    <w:tmpl w:val="E7A475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205434F"/>
    <w:multiLevelType w:val="singleLevel"/>
    <w:tmpl w:val="1205434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61C602"/>
    <w:multiLevelType w:val="singleLevel"/>
    <w:tmpl w:val="3261C602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26474BD"/>
    <w:multiLevelType w:val="singleLevel"/>
    <w:tmpl w:val="626474B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B096A"/>
    <w:rsid w:val="098B096A"/>
    <w:rsid w:val="0D8D4A31"/>
    <w:rsid w:val="0DB878F0"/>
    <w:rsid w:val="14414C15"/>
    <w:rsid w:val="17AD5C65"/>
    <w:rsid w:val="27600184"/>
    <w:rsid w:val="27FE0087"/>
    <w:rsid w:val="29882108"/>
    <w:rsid w:val="30E06D5B"/>
    <w:rsid w:val="3C544A58"/>
    <w:rsid w:val="415967D9"/>
    <w:rsid w:val="6C3A508C"/>
    <w:rsid w:val="7A7A35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4"/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qFormat/>
    <w:uiPriority w:val="0"/>
    <w:rPr>
      <w:color w:val="800080"/>
      <w:u w:val="none"/>
    </w:rPr>
  </w:style>
  <w:style w:type="character" w:styleId="10">
    <w:name w:val="Emphasis"/>
    <w:basedOn w:val="6"/>
    <w:qFormat/>
    <w:uiPriority w:val="0"/>
    <w:rPr>
      <w:color w:val="CC0000"/>
      <w:sz w:val="24"/>
      <w:szCs w:val="24"/>
    </w:rPr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ite"/>
    <w:basedOn w:val="6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2018-02-07T06:27:00Z</dcterms:created>
  <dc:creator>Administrator</dc:creator>
  <cp:lastModifiedBy>lenovo1</cp:lastModifiedBy>
  <dcterms:modified xsi:type="dcterms:W3CDTF">2019-04-28T02:46:05Z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