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2" w:lineRule="exact"/>
        <w:rPr>
          <w:rFonts w:hint="default" w:ascii="Times New Roman" w:hAnsi="Times New Roman" w:eastAsia="Times New Roman" w:cs="Times New Roman"/>
          <w:sz w:val="24"/>
        </w:rPr>
      </w:pPr>
    </w:p>
    <w:p>
      <w:pPr>
        <w:jc w:val="center"/>
        <w:rPr>
          <w:rFonts w:hint="default" w:ascii="Times New Roman" w:hAnsi="Times New Roman" w:eastAsia="宋体" w:cs="Times New Roman"/>
          <w:b/>
          <w:bCs/>
          <w:color w:val="008000"/>
          <w:sz w:val="30"/>
        </w:rPr>
      </w:pPr>
      <w:r>
        <w:rPr>
          <w:rFonts w:hint="default" w:ascii="Times New Roman" w:hAnsi="Times New Roman" w:eastAsia="宋体" w:cs="Times New Roman"/>
          <w:b/>
          <w:bCs/>
          <w:color w:val="008000"/>
          <w:sz w:val="30"/>
          <w:lang w:eastAsia="zh-CN"/>
        </w:rPr>
        <w:t>亚类鉴定ELISA试剂盒</w:t>
      </w:r>
      <w:r>
        <w:rPr>
          <w:rFonts w:hint="default" w:ascii="Times New Roman" w:hAnsi="Times New Roman" w:eastAsia="宋体" w:cs="Times New Roman"/>
          <w:b/>
          <w:bCs/>
          <w:color w:val="008000"/>
          <w:sz w:val="30"/>
        </w:rPr>
        <w:t>说明书</w:t>
      </w:r>
    </w:p>
    <w:p>
      <w:p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7"/>
          <w:rFonts w:hint="default" w:ascii="Tahoma" w:hAnsi="Tahoma" w:eastAsia="Tahoma" w:cs="Tahoma"/>
          <w:i w:val="0"/>
          <w:caps w:val="0"/>
          <w:color w:val="808080"/>
          <w:spacing w:val="0"/>
          <w:sz w:val="21"/>
          <w:szCs w:val="21"/>
          <w:bdr w:val="none" w:color="auto" w:sz="0" w:space="0"/>
          <w:shd w:val="clear" w:fill="FFFFFF"/>
        </w:rPr>
      </w:pPr>
      <w:r>
        <w:rPr>
          <w:rStyle w:val="7"/>
          <w:rFonts w:hint="default" w:ascii="Tahoma" w:hAnsi="Tahoma" w:eastAsia="Tahoma" w:cs="Tahoma"/>
          <w:i w:val="0"/>
          <w:caps w:val="0"/>
          <w:color w:val="808080"/>
          <w:spacing w:val="0"/>
          <w:sz w:val="21"/>
          <w:szCs w:val="21"/>
          <w:bdr w:val="none" w:color="auto" w:sz="0" w:space="0"/>
          <w:shd w:val="clear" w:fill="FFFFFF"/>
        </w:rPr>
        <w:t>试剂原理：</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Chars="0" w:right="0" w:rightChars="0" w:firstLine="420" w:firstLineChars="200"/>
        <w:rPr>
          <w:rFonts w:ascii="Tahoma" w:hAnsi="Tahoma" w:eastAsia="Tahoma" w:cs="Tahoma"/>
          <w:i w:val="0"/>
          <w:caps w:val="0"/>
          <w:color w:val="666666"/>
          <w:spacing w:val="0"/>
          <w:sz w:val="21"/>
          <w:szCs w:val="21"/>
        </w:rPr>
      </w:pPr>
      <w:bookmarkStart w:id="0" w:name="_GoBack"/>
      <w:bookmarkEnd w:id="0"/>
      <w:r>
        <w:rPr>
          <w:rFonts w:hint="default" w:ascii="Tahoma" w:hAnsi="Tahoma" w:eastAsia="Tahoma" w:cs="Tahoma"/>
          <w:i w:val="0"/>
          <w:caps w:val="0"/>
          <w:color w:val="000000"/>
          <w:spacing w:val="0"/>
          <w:sz w:val="21"/>
          <w:szCs w:val="21"/>
          <w:bdr w:val="none" w:color="auto" w:sz="0" w:space="0"/>
          <w:shd w:val="clear" w:fill="FFFFFF"/>
        </w:rPr>
        <w:t>本试剂盒利用双抗体夹心法鉴定小鼠淋巴细胞杂交瘤培养上清中单克隆抗</w:t>
      </w:r>
      <w:r>
        <w:rPr>
          <w:rFonts w:hint="default" w:ascii="Tahoma" w:hAnsi="Tahoma" w:eastAsia="Tahoma" w:cs="Tahoma"/>
          <w:i w:val="0"/>
          <w:caps w:val="0"/>
          <w:color w:val="666666"/>
          <w:spacing w:val="0"/>
          <w:sz w:val="21"/>
          <w:szCs w:val="21"/>
          <w:bdr w:val="none" w:color="auto" w:sz="0" w:space="0"/>
          <w:shd w:val="clear" w:fill="FFFFFF"/>
        </w:rPr>
        <w:t>体</w:t>
      </w:r>
      <w:r>
        <w:rPr>
          <w:rFonts w:hint="default" w:ascii="Tahoma" w:hAnsi="Tahoma" w:eastAsia="Tahoma" w:cs="Tahoma"/>
          <w:i w:val="0"/>
          <w:caps w:val="0"/>
          <w:color w:val="000000"/>
          <w:spacing w:val="0"/>
          <w:sz w:val="21"/>
          <w:szCs w:val="21"/>
          <w:bdr w:val="none" w:color="auto" w:sz="0" w:space="0"/>
          <w:shd w:val="clear" w:fill="FFFFFF"/>
        </w:rPr>
        <w:t>或特异亲和纯化的单克隆抗体的类和亚类以及轻链亚型（可区分IgG1\IgG2a\IgG2b\IgG3\IgM\IgA\Kappa\Lambda）。采用小鼠抗体共有位点的二抗包被微孔板，与加入的培养上清中的小鼠抗体结合，再加入HRP标记的抗小鼠各类、亚类、亚型的抗体来分别反应，</w:t>
      </w:r>
      <w:r>
        <w:rPr>
          <w:rFonts w:hint="eastAsia" w:ascii="Tahoma" w:hAnsi="Tahoma" w:eastAsia="宋体" w:cs="Tahoma"/>
          <w:i w:val="0"/>
          <w:caps w:val="0"/>
          <w:color w:val="000000"/>
          <w:spacing w:val="0"/>
          <w:sz w:val="21"/>
          <w:szCs w:val="21"/>
          <w:bdr w:val="none" w:color="auto" w:sz="0" w:space="0"/>
          <w:shd w:val="clear" w:fill="FFFFFF"/>
          <w:lang w:eastAsia="zh-CN"/>
        </w:rPr>
        <w:t>最</w:t>
      </w:r>
      <w:r>
        <w:rPr>
          <w:rFonts w:hint="default" w:ascii="Tahoma" w:hAnsi="Tahoma" w:eastAsia="Tahoma" w:cs="Tahoma"/>
          <w:i w:val="0"/>
          <w:caps w:val="0"/>
          <w:color w:val="000000"/>
          <w:spacing w:val="0"/>
          <w:sz w:val="21"/>
          <w:szCs w:val="21"/>
          <w:bdr w:val="none" w:color="auto" w:sz="0" w:space="0"/>
          <w:shd w:val="clear" w:fill="FFFFFF"/>
        </w:rPr>
        <w:t>后用TMB底物系统显色并用稀硫酸终止，再通过酶标仪检测吸光度来判断被测单克隆抗体的类或亚类以及亚型。本试剂盒具有极高的分辨率，是您鉴定小鼠单克隆抗体类、亚类以及亚型的可靠工具。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bdr w:val="none" w:color="auto" w:sz="0" w:space="0"/>
          <w:shd w:val="clear" w:fill="FFFFFF"/>
        </w:rPr>
        <w:t>二、组成成分：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  </w:t>
      </w:r>
    </w:p>
    <w:tbl>
      <w:tblPr>
        <w:tblW w:w="8522" w:type="dxa"/>
        <w:jc w:val="center"/>
        <w:tblInd w:w="5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988"/>
        <w:gridCol w:w="1272"/>
        <w:gridCol w:w="3228"/>
        <w:gridCol w:w="10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98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酶标板     含自封袋2个</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2ⅹ96孔</w:t>
            </w:r>
          </w:p>
        </w:tc>
        <w:tc>
          <w:tcPr>
            <w:tcW w:w="322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 标本稀释液</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15ml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通用阳性对照    </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1.5ml</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显色剂A</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15ml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通用阴性对照       </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1.5ml</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显色剂B</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15ml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酶标二抗         8种</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8×3.2ml</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反应终止液</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15ml</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 20×清洗液</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60mL</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加样图</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2份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98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 封板膜</w:t>
            </w:r>
          </w:p>
        </w:tc>
        <w:tc>
          <w:tcPr>
            <w:tcW w:w="127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4张</w:t>
            </w:r>
          </w:p>
        </w:tc>
        <w:tc>
          <w:tcPr>
            <w:tcW w:w="3228" w:type="dxa"/>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Tahoma" w:hAnsi="Tahoma" w:eastAsia="Tahoma" w:cs="Tahoma"/>
              </w:rPr>
            </w:pPr>
            <w:r>
              <w:rPr>
                <w:rFonts w:hint="default" w:ascii="Tahoma" w:hAnsi="Tahoma" w:eastAsia="Tahoma" w:cs="Tahoma"/>
                <w:i w:val="0"/>
                <w:caps w:val="0"/>
                <w:color w:val="808080"/>
                <w:spacing w:val="0"/>
                <w:sz w:val="21"/>
                <w:szCs w:val="21"/>
                <w:bdr w:val="none" w:color="auto" w:sz="0" w:space="0"/>
              </w:rPr>
              <w:t>说明书</w:t>
            </w:r>
          </w:p>
        </w:tc>
        <w:tc>
          <w:tcPr>
            <w:tcW w:w="103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808080"/>
                <w:spacing w:val="0"/>
                <w:kern w:val="0"/>
                <w:sz w:val="21"/>
                <w:szCs w:val="21"/>
                <w:bdr w:val="none" w:color="auto" w:sz="0" w:space="0"/>
                <w:lang w:val="en-US" w:eastAsia="zh-CN" w:bidi="ar"/>
              </w:rPr>
              <w:t>1份</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 </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Style w:val="7"/>
          <w:rFonts w:hint="default" w:ascii="Tahoma" w:hAnsi="Tahoma" w:eastAsia="Tahoma" w:cs="Tahoma"/>
          <w:i w:val="0"/>
          <w:caps w:val="0"/>
          <w:color w:val="808080"/>
          <w:spacing w:val="0"/>
          <w:sz w:val="21"/>
          <w:szCs w:val="21"/>
          <w:bdr w:val="none" w:color="auto" w:sz="0" w:space="0"/>
          <w:shd w:val="clear" w:fill="FFFFFF"/>
        </w:rPr>
      </w:pPr>
      <w:r>
        <w:rPr>
          <w:rStyle w:val="7"/>
          <w:rFonts w:hint="default" w:ascii="Tahoma" w:hAnsi="Tahoma" w:eastAsia="Tahoma" w:cs="Tahoma"/>
          <w:i w:val="0"/>
          <w:caps w:val="0"/>
          <w:color w:val="808080"/>
          <w:spacing w:val="0"/>
          <w:sz w:val="21"/>
          <w:szCs w:val="21"/>
          <w:bdr w:val="none" w:color="auto" w:sz="0" w:space="0"/>
          <w:shd w:val="clear" w:fill="FFFFFF"/>
        </w:rPr>
        <w:t>使用范围：</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Chars="0" w:right="0" w:rightChars="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用于杂交瘤细胞培养上清中小鼠单克隆抗体Ig类、亚类的鉴定以及相关内容的研究。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bdr w:val="none" w:color="auto" w:sz="0" w:space="0"/>
          <w:shd w:val="clear" w:fill="FFFFFF"/>
        </w:rPr>
        <w:t>四、使用方法：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1、</w:t>
      </w:r>
      <w:r>
        <w:rPr>
          <w:rFonts w:hint="default" w:ascii="Tahoma" w:hAnsi="Tahoma" w:eastAsia="Tahoma" w:cs="Tahoma"/>
          <w:i w:val="0"/>
          <w:caps w:val="0"/>
          <w:color w:val="666666"/>
          <w:spacing w:val="0"/>
          <w:sz w:val="21"/>
          <w:szCs w:val="21"/>
          <w:bdr w:val="none" w:color="auto" w:sz="0" w:space="0"/>
          <w:shd w:val="clear" w:fill="FFFFFF"/>
        </w:rPr>
        <w:t>首先将试剂盒恢复室温（大约30分），然后用纯水把清洗液配成工作浓度（一份浓缩清洗液加19份纯水）。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2、</w:t>
      </w:r>
      <w:r>
        <w:rPr>
          <w:rFonts w:hint="default" w:ascii="Tahoma" w:hAnsi="Tahoma" w:eastAsia="Tahoma" w:cs="Tahoma"/>
          <w:i w:val="0"/>
          <w:caps w:val="0"/>
          <w:color w:val="666666"/>
          <w:spacing w:val="0"/>
          <w:sz w:val="21"/>
          <w:szCs w:val="21"/>
          <w:bdr w:val="none" w:color="auto" w:sz="0" w:space="0"/>
          <w:shd w:val="clear" w:fill="FFFFFF"/>
        </w:rPr>
        <w:t>取出酶标板。每个标本需要8孔，阳性对照8孔，阴性对照8孔。多余的用自封袋保存，记得放入干燥剂。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3、</w:t>
      </w:r>
      <w:r>
        <w:rPr>
          <w:rFonts w:hint="default" w:ascii="Tahoma" w:hAnsi="Tahoma" w:eastAsia="Tahoma" w:cs="Tahoma"/>
          <w:i w:val="0"/>
          <w:caps w:val="0"/>
          <w:color w:val="666666"/>
          <w:spacing w:val="0"/>
          <w:sz w:val="21"/>
          <w:szCs w:val="21"/>
          <w:bdr w:val="none" w:color="auto" w:sz="0" w:space="0"/>
          <w:shd w:val="clear" w:fill="FFFFFF"/>
        </w:rPr>
        <w:t>将细胞培养上清（或特异亲和纯化的抗体）50μl加入酶标微孔板，每个标本加8孔，阳性对照和阴性对照也是各加8孔每孔50μl。然后每孔再加入50μl标本稀释液。贴上封板膜37℃温育30分钟。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4、</w:t>
      </w:r>
      <w:r>
        <w:rPr>
          <w:rFonts w:hint="default" w:ascii="Tahoma" w:hAnsi="Tahoma" w:eastAsia="Tahoma" w:cs="Tahoma"/>
          <w:i w:val="0"/>
          <w:caps w:val="0"/>
          <w:color w:val="666666"/>
          <w:spacing w:val="0"/>
          <w:sz w:val="21"/>
          <w:szCs w:val="21"/>
          <w:bdr w:val="none" w:color="auto" w:sz="0" w:space="0"/>
          <w:shd w:val="clear" w:fill="FFFFFF"/>
        </w:rPr>
        <w:t>弃去板内液体，洗板5遍后在不掉纤维的吸水材料上拍干或机洗5遍。再在每个标本的8孔中分别加入8种酶标二抗各100μl，通用阳性对照的8孔也一样。在加样图上或酶标板上做好标记。贴上封板膜37℃温育30分钟。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5、</w:t>
      </w:r>
      <w:r>
        <w:rPr>
          <w:rFonts w:hint="default" w:ascii="Tahoma" w:hAnsi="Tahoma" w:eastAsia="Tahoma" w:cs="Tahoma"/>
          <w:i w:val="0"/>
          <w:caps w:val="0"/>
          <w:color w:val="666666"/>
          <w:spacing w:val="0"/>
          <w:sz w:val="21"/>
          <w:szCs w:val="21"/>
          <w:bdr w:val="none" w:color="auto" w:sz="0" w:space="0"/>
          <w:shd w:val="clear" w:fill="FFFFFF"/>
        </w:rPr>
        <w:t>吸弃板内液体，洗板5遍后在不掉纤维的吸水材料上拍干或机洗5遍。每孔分别加入显色剂A和显色剂B各50μl，换一张新的封板膜贴板避光37℃显色20分钟。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6、</w:t>
      </w:r>
      <w:r>
        <w:rPr>
          <w:rFonts w:hint="default" w:ascii="Tahoma" w:hAnsi="Tahoma" w:eastAsia="Tahoma" w:cs="Tahoma"/>
          <w:i w:val="0"/>
          <w:caps w:val="0"/>
          <w:color w:val="666666"/>
          <w:spacing w:val="0"/>
          <w:sz w:val="21"/>
          <w:szCs w:val="21"/>
          <w:bdr w:val="none" w:color="auto" w:sz="0" w:space="0"/>
          <w:shd w:val="clear" w:fill="FFFFFF"/>
        </w:rPr>
        <w:t>本试剂盒特异性好一般肉眼即可观察出结果，看显色蓝的那个孔所对应的酶标二抗就知道此标本的Ig类或亚类。更可将反应终止液（每孔50μl）终止反应后用酶标仪450nm测定波长，630nm参考波长双波长测定结果，参看高值孔所对应的酶标二抗就知道此标本的Ig类或亚类(阳性对照OD一般不小于0.8，阴性对照一般不高于0.12，阳性判定标准：样品OD大于阴性OD+0.15，阴性OD低于0.05按0.05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bdr w:val="none" w:color="auto" w:sz="0" w:space="0"/>
          <w:shd w:val="clear" w:fill="FFFFFF"/>
        </w:rPr>
        <w:t>五、产品特点：</w:t>
      </w:r>
      <w:r>
        <w:rPr>
          <w:rFonts w:hint="default" w:ascii="Tahoma" w:hAnsi="Tahoma" w:eastAsia="Tahoma" w:cs="Tahoma"/>
          <w:i w:val="0"/>
          <w:caps w:val="0"/>
          <w:color w:val="666666"/>
          <w:spacing w:val="0"/>
          <w:sz w:val="21"/>
          <w:szCs w:val="21"/>
          <w:bdr w:val="none" w:color="auto" w:sz="0" w:space="0"/>
          <w:shd w:val="clear" w:fill="FFFFFF"/>
        </w:rPr>
        <w:t>高灵敏度、高特异性、结果容易判定。（您如果觉得很多试剂自己可以准备想省一笔费用，那您可以登陆网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        站选择我们为您准备的简装抗体鉴定产品C030215。当然您也可以下次把标本交给我们来做这样并且不会增加太多费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        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bdr w:val="none" w:color="auto" w:sz="0" w:space="0"/>
          <w:shd w:val="clear" w:fill="FFFFFF"/>
        </w:rPr>
        <w:t>六、保存条件：</w:t>
      </w:r>
      <w:r>
        <w:rPr>
          <w:rFonts w:hint="default" w:ascii="Tahoma" w:hAnsi="Tahoma" w:eastAsia="Tahoma" w:cs="Tahoma"/>
          <w:i w:val="0"/>
          <w:caps w:val="0"/>
          <w:color w:val="666666"/>
          <w:spacing w:val="0"/>
          <w:sz w:val="21"/>
          <w:szCs w:val="21"/>
          <w:bdr w:val="none" w:color="auto" w:sz="0" w:space="0"/>
          <w:shd w:val="clear" w:fill="FFFFFF"/>
        </w:rPr>
        <w:t>不开启2-8℃避光保存效期一年。不正确存放或过于频繁开启使用有可能因此使效期缩短。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808080"/>
          <w:spacing w:val="0"/>
          <w:sz w:val="21"/>
          <w:szCs w:val="21"/>
          <w:bdr w:val="none" w:color="auto" w:sz="0" w:space="0"/>
          <w:shd w:val="clear" w:fill="FFFFFF"/>
        </w:rPr>
        <w:t>七、注意事项：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1、</w:t>
      </w:r>
      <w:r>
        <w:rPr>
          <w:rFonts w:hint="default" w:ascii="Tahoma" w:hAnsi="Tahoma" w:eastAsia="Tahoma" w:cs="Tahoma"/>
          <w:i w:val="0"/>
          <w:caps w:val="0"/>
          <w:color w:val="666666"/>
          <w:spacing w:val="0"/>
          <w:sz w:val="21"/>
          <w:szCs w:val="21"/>
          <w:bdr w:val="none" w:color="auto" w:sz="0" w:space="0"/>
          <w:shd w:val="clear" w:fill="FFFFFF"/>
        </w:rPr>
        <w:t>虽然本试剂盒过期后很久还有使用价值但还是请您在有效期内使用。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2、</w:t>
      </w:r>
      <w:r>
        <w:rPr>
          <w:rFonts w:hint="default" w:ascii="Tahoma" w:hAnsi="Tahoma" w:eastAsia="Tahoma" w:cs="Tahoma"/>
          <w:i w:val="0"/>
          <w:caps w:val="0"/>
          <w:color w:val="666666"/>
          <w:spacing w:val="0"/>
          <w:sz w:val="21"/>
          <w:szCs w:val="21"/>
          <w:bdr w:val="none" w:color="auto" w:sz="0" w:space="0"/>
          <w:shd w:val="clear" w:fill="FFFFFF"/>
        </w:rPr>
        <w:t>在检测腹水类单抗时要稀释到1/5万，虽然可以分辨但并不建议您这样做。此类样品成分十分复杂，有干扰结果的可能。在此种情况下您可以选择本公司的C030215抗体鉴定试剂。它会给您带来满意的结果。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666666"/>
          <w:spacing w:val="0"/>
          <w:sz w:val="21"/>
          <w:szCs w:val="21"/>
          <w:bdr w:val="none" w:color="auto" w:sz="0" w:space="0"/>
          <w:shd w:val="clear" w:fill="FFFFFF"/>
        </w:rPr>
        <w:t>    您也可以将酶标板更换成您自己的抗原包被板那样也是可以用来测试腹水、以至于几乎任意一种形式的单抗样本的检测，结果同样跟上清一样满意！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3、</w:t>
      </w:r>
      <w:r>
        <w:rPr>
          <w:rFonts w:hint="default" w:ascii="Tahoma" w:hAnsi="Tahoma" w:eastAsia="Tahoma" w:cs="Tahoma"/>
          <w:i w:val="0"/>
          <w:caps w:val="0"/>
          <w:color w:val="666666"/>
          <w:spacing w:val="0"/>
          <w:sz w:val="21"/>
          <w:szCs w:val="21"/>
          <w:bdr w:val="none" w:color="auto" w:sz="0" w:space="0"/>
          <w:shd w:val="clear" w:fill="FFFFFF"/>
        </w:rPr>
        <w:t>手洗板子时一定要把孔加满，停留10秒然后弃尽，zui后要拍干净。特别是在酶标二抗温育后洗板时一定要把酶吸出而不是甩出，要吸净。这个在手工洗板时对结果很重要。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4、</w:t>
      </w:r>
      <w:r>
        <w:rPr>
          <w:rFonts w:hint="default" w:ascii="Tahoma" w:hAnsi="Tahoma" w:eastAsia="Tahoma" w:cs="Tahoma"/>
          <w:i w:val="0"/>
          <w:caps w:val="0"/>
          <w:color w:val="666666"/>
          <w:spacing w:val="0"/>
          <w:sz w:val="21"/>
          <w:szCs w:val="21"/>
          <w:bdr w:val="none" w:color="auto" w:sz="0" w:space="0"/>
          <w:shd w:val="clear" w:fill="FFFFFF"/>
        </w:rPr>
        <w:t>一次没用完的板子要带干燥剂放自封袋封好，随盒存放。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5、</w:t>
      </w:r>
      <w:r>
        <w:rPr>
          <w:rFonts w:hint="default" w:ascii="Tahoma" w:hAnsi="Tahoma" w:eastAsia="Tahoma" w:cs="Tahoma"/>
          <w:i w:val="0"/>
          <w:caps w:val="0"/>
          <w:color w:val="666666"/>
          <w:spacing w:val="0"/>
          <w:sz w:val="21"/>
          <w:szCs w:val="21"/>
          <w:bdr w:val="none" w:color="auto" w:sz="0" w:space="0"/>
          <w:shd w:val="clear" w:fill="FFFFFF"/>
        </w:rPr>
        <w:t>拿放板子时不要剧烈抖动，以免孔间交叉污染出现错误结果。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6、</w:t>
      </w:r>
      <w:r>
        <w:rPr>
          <w:rFonts w:hint="default" w:ascii="Tahoma" w:hAnsi="Tahoma" w:eastAsia="Tahoma" w:cs="Tahoma"/>
          <w:i w:val="0"/>
          <w:caps w:val="0"/>
          <w:color w:val="666666"/>
          <w:spacing w:val="0"/>
          <w:sz w:val="21"/>
          <w:szCs w:val="21"/>
          <w:bdr w:val="none" w:color="auto" w:sz="0" w:space="0"/>
          <w:shd w:val="clear" w:fill="FFFFFF"/>
        </w:rPr>
        <w:t>本试剂一般不会出现两个阳性，但出现两个阳性的现象有时候是真实存在的，一般会一个OD很高,另一个很低但却还能判为阳性，实验分析表明这种情况下以OD高值孔为准，出现这种情况有多重原因：1、培养的细胞中有“饲养细胞”残留，2、抗体本身存在变异，3、融合的淋巴细胞取自不纯的BALB/C，4、样品为非特异亲和纯化的抗体或样品是腹水，5、上清出现少量污染，6、实验操作粗放，7、加错试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ahoma" w:hAnsi="Tahoma" w:eastAsia="Tahoma" w:cs="Tahoma"/>
          <w:i w:val="0"/>
          <w:caps w:val="0"/>
          <w:color w:val="666666"/>
          <w:spacing w:val="0"/>
          <w:sz w:val="21"/>
          <w:szCs w:val="21"/>
        </w:rPr>
      </w:pPr>
      <w:r>
        <w:rPr>
          <w:rStyle w:val="7"/>
          <w:rFonts w:hint="default" w:ascii="Tahoma" w:hAnsi="Tahoma" w:eastAsia="Tahoma" w:cs="Tahoma"/>
          <w:i w:val="0"/>
          <w:caps w:val="0"/>
          <w:color w:val="666666"/>
          <w:spacing w:val="0"/>
          <w:sz w:val="21"/>
          <w:szCs w:val="21"/>
          <w:bdr w:val="none" w:color="auto" w:sz="0" w:space="0"/>
          <w:shd w:val="clear" w:fill="FFFFFF"/>
        </w:rPr>
        <w:t>7、</w:t>
      </w:r>
      <w:r>
        <w:rPr>
          <w:rFonts w:hint="default" w:ascii="Tahoma" w:hAnsi="Tahoma" w:eastAsia="Tahoma" w:cs="Tahoma"/>
          <w:i w:val="0"/>
          <w:caps w:val="0"/>
          <w:color w:val="666666"/>
          <w:spacing w:val="0"/>
          <w:sz w:val="21"/>
          <w:szCs w:val="21"/>
          <w:bdr w:val="none" w:color="auto" w:sz="0" w:space="0"/>
          <w:shd w:val="clear" w:fill="FFFFFF"/>
        </w:rPr>
        <w:t>阳性对照数据并不完全一样，仅作为有效指示。</w:t>
      </w:r>
      <w:r>
        <w:rPr>
          <w:rFonts w:hint="default" w:ascii="Tahoma" w:hAnsi="Tahoma" w:eastAsia="Tahoma" w:cs="Tahoma"/>
          <w:i w:val="0"/>
          <w:caps w:val="0"/>
          <w:color w:val="000080"/>
          <w:spacing w:val="0"/>
          <w:sz w:val="21"/>
          <w:szCs w:val="21"/>
          <w:bdr w:val="none" w:color="auto" w:sz="0" w:space="0"/>
          <w:shd w:val="clear" w:fill="FFFFFF"/>
        </w:rPr>
        <w:t> </w:t>
      </w:r>
      <w:r>
        <w:rPr>
          <w:rFonts w:hint="default" w:ascii="Tahoma" w:hAnsi="Tahoma" w:eastAsia="Tahoma" w:cs="Tahoma"/>
          <w:i w:val="0"/>
          <w:caps w:val="0"/>
          <w:color w:val="666666"/>
          <w:spacing w:val="0"/>
          <w:sz w:val="21"/>
          <w:szCs w:val="21"/>
          <w:bdr w:val="none" w:color="auto" w:sz="0" w:space="0"/>
          <w:shd w:val="clear" w:fill="FFFFFF"/>
        </w:rPr>
        <w:t> </w:t>
      </w:r>
    </w:p>
    <w:p>
      <w:pPr>
        <w:rPr>
          <w:rFonts w:hint="default" w:ascii="Times New Roman" w:hAnsi="Times New Roman" w:cs="Times New Roman"/>
        </w:rPr>
      </w:pPr>
    </w:p>
    <w:sectPr>
      <w:headerReference r:id="rId3" w:type="default"/>
      <w:footerReference r:id="rId4" w:type="default"/>
      <w:pgSz w:w="11906" w:h="16838"/>
      <w:pgMar w:top="2608" w:right="924" w:bottom="2608" w:left="1440" w:header="851" w:footer="136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2"/>
      <w:pBdr>
        <w:top w:val="single" w:color="auto" w:sz="6" w:space="1"/>
      </w:pBdr>
      <w:tabs>
        <w:tab w:val="right" w:pos="9000"/>
        <w:tab w:val="clear" w:pos="8306"/>
      </w:tabs>
      <w:ind w:right="360"/>
      <w:rPr>
        <w:rFonts w:hint="eastAsia"/>
        <w:color w:val="008000"/>
        <w:sz w:val="18"/>
        <w:szCs w:val="18"/>
      </w:rPr>
    </w:pPr>
    <w:r>
      <w:rPr>
        <w:rFonts w:hint="eastAsia"/>
        <w:color w:val="008000"/>
        <w:sz w:val="18"/>
        <w:szCs w:val="18"/>
      </w:rPr>
      <w:t xml:space="preserve">地址：山东省滨州市黄河二路169号 绿都生物高科技园  网址：http://www.lvdu.net/  </w:t>
    </w:r>
    <w:r>
      <w:rPr>
        <w:rFonts w:hint="eastAsia"/>
        <w:color w:val="008000"/>
        <w:sz w:val="18"/>
        <w:szCs w:val="18"/>
        <w:lang w:val="en-US" w:eastAsia="zh-CN"/>
      </w:rPr>
      <w:t xml:space="preserve"> </w:t>
    </w:r>
    <w:r>
      <w:rPr>
        <w:rFonts w:hint="eastAsia"/>
        <w:color w:val="008000"/>
        <w:sz w:val="18"/>
        <w:szCs w:val="18"/>
      </w:rPr>
      <w:t>201</w:t>
    </w:r>
    <w:r>
      <w:rPr>
        <w:rFonts w:hint="eastAsia"/>
        <w:color w:val="008000"/>
        <w:sz w:val="18"/>
        <w:szCs w:val="18"/>
        <w:lang w:val="en-US" w:eastAsia="zh-CN"/>
      </w:rPr>
      <w:t>9</w:t>
    </w:r>
    <w:r>
      <w:rPr>
        <w:rFonts w:hint="eastAsia"/>
        <w:color w:val="008000"/>
        <w:sz w:val="18"/>
        <w:szCs w:val="18"/>
      </w:rPr>
      <w:t>-1版</w:t>
    </w:r>
  </w:p>
  <w:p>
    <w:pPr>
      <w:pStyle w:val="2"/>
      <w:pBdr>
        <w:top w:val="single" w:color="auto" w:sz="6" w:space="1"/>
      </w:pBdr>
      <w:tabs>
        <w:tab w:val="right" w:pos="9000"/>
        <w:tab w:val="clear" w:pos="8306"/>
      </w:tabs>
      <w:ind w:right="360"/>
      <w:rPr>
        <w:rFonts w:hint="eastAsia"/>
        <w:color w:val="008000"/>
        <w:sz w:val="18"/>
        <w:szCs w:val="18"/>
      </w:rPr>
    </w:pPr>
    <w:r>
      <w:rPr>
        <w:rFonts w:hint="eastAsia"/>
        <w:color w:val="008000"/>
        <w:sz w:val="18"/>
        <w:szCs w:val="18"/>
      </w:rPr>
      <w:t>24小时技术服务：18266598399  传真：+86-0543-3405352  Email：</w:t>
    </w:r>
    <w:r>
      <w:rPr>
        <w:rFonts w:hint="eastAsia"/>
        <w:color w:val="008000"/>
        <w:sz w:val="18"/>
        <w:szCs w:val="18"/>
        <w:u w:val="single"/>
      </w:rPr>
      <w:t>lvdukeji</w:t>
    </w:r>
    <w:r>
      <w:rPr>
        <w:rFonts w:hint="eastAsia"/>
        <w:color w:val="008000"/>
        <w:sz w:val="18"/>
        <w:szCs w:val="18"/>
      </w:rPr>
      <w:t xml:space="preserve">@126.com    邮编：256600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楷体_GB2312"/>
        <w:b/>
        <w:color w:val="003300"/>
        <w:sz w:val="28"/>
      </w:rPr>
    </w:pPr>
  </w:p>
  <w:p>
    <w:pPr>
      <w:pStyle w:val="3"/>
      <w:pBdr>
        <w:bottom w:val="none" w:color="auto" w:sz="0" w:space="1"/>
      </w:pBdr>
      <w:jc w:val="both"/>
      <w:rPr>
        <w:rFonts w:eastAsia="楷体_GB2312"/>
        <w:b/>
        <w:color w:val="006600"/>
        <w:sz w:val="36"/>
        <w:szCs w:val="36"/>
      </w:rPr>
    </w:pPr>
    <w:r>
      <w:drawing>
        <wp:inline distT="0" distB="0" distL="114300" distR="114300">
          <wp:extent cx="1380490" cy="1200150"/>
          <wp:effectExtent l="0" t="0" r="10160" b="0"/>
          <wp:docPr id="1" name="图片 1" descr="C:\Documents and Settings\Administrator\桌面\于金枝\lan du-标志1(1)-wps图片.jpglan du-标志1(1)-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于金枝\lan du-标志1(1)-wps图片.jpglan du-标志1(1)-wps图片"/>
                  <pic:cNvPicPr>
                    <a:picLocks noChangeAspect="1"/>
                  </pic:cNvPicPr>
                </pic:nvPicPr>
                <pic:blipFill>
                  <a:blip r:embed="rId1"/>
                  <a:srcRect/>
                  <a:stretch>
                    <a:fillRect/>
                  </a:stretch>
                </pic:blipFill>
                <pic:spPr>
                  <a:xfrm>
                    <a:off x="0" y="0"/>
                    <a:ext cx="1380490" cy="1200150"/>
                  </a:xfrm>
                  <a:prstGeom prst="rect">
                    <a:avLst/>
                  </a:prstGeom>
                  <a:noFill/>
                  <a:ln w="9525">
                    <a:noFill/>
                  </a:ln>
                </pic:spPr>
              </pic:pic>
            </a:graphicData>
          </a:graphic>
        </wp:inline>
      </w:drawing>
    </w:r>
    <w:r>
      <w:rPr>
        <w:rFonts w:eastAsia="楷体_GB2312"/>
        <w:b/>
        <w:color w:val="006600"/>
        <w:sz w:val="36"/>
        <w:szCs w:val="36"/>
      </w:rPr>
      <w:t xml:space="preserve"> </w:t>
    </w:r>
    <w:r>
      <w:rPr>
        <w:rFonts w:hint="eastAsia" w:eastAsia="楷体_GB2312"/>
        <w:b/>
        <w:color w:val="006600"/>
        <w:sz w:val="36"/>
        <w:szCs w:val="36"/>
        <w:lang w:val="en-US" w:eastAsia="zh-CN"/>
      </w:rPr>
      <w:t xml:space="preserve"> </w:t>
    </w:r>
    <w:r>
      <w:rPr>
        <w:rFonts w:hint="eastAsia" w:eastAsia="楷体_GB2312"/>
        <w:b/>
        <w:color w:val="006600"/>
        <w:sz w:val="36"/>
        <w:szCs w:val="36"/>
        <w:lang w:eastAsia="zh-CN"/>
      </w:rPr>
      <w:t>山东绿都生物科技有限公司</w:t>
    </w:r>
  </w:p>
  <w:p>
    <w:pPr>
      <w:pStyle w:val="3"/>
      <w:pBdr>
        <w:bottom w:val="none" w:color="auto" w:sz="0" w:space="1"/>
      </w:pBdr>
      <w:rPr>
        <w:rFonts w:eastAsia="楷体_GB2312"/>
        <w:b/>
        <w:color w:val="006600"/>
        <w:sz w:val="36"/>
        <w:szCs w:val="36"/>
      </w:rPr>
    </w:pPr>
    <w:r>
      <w:rPr>
        <w:rFonts w:eastAsia="楷体_GB2312"/>
        <w:b/>
        <w:color w:val="006600"/>
        <w:sz w:val="36"/>
        <w:szCs w:val="36"/>
      </w:rPr>
      <w:t>Shandong Lvdu Bio-Sciences &amp; Technology Co.,Ltd.</w:t>
    </w:r>
    <w:r>
      <w:rPr>
        <w:rFonts w:hint="eastAsia" w:eastAsia="楷体_GB2312"/>
        <w:b/>
        <w:color w:val="006600"/>
        <w:sz w:val="36"/>
        <w:szCs w:val="36"/>
      </w:rPr>
      <w:t>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C46B0"/>
    <w:multiLevelType w:val="singleLevel"/>
    <w:tmpl w:val="A89C46B0"/>
    <w:lvl w:ilvl="0" w:tentative="0">
      <w:start w:val="1"/>
      <w:numFmt w:val="chineseCounting"/>
      <w:suff w:val="nothing"/>
      <w:lvlText w:val="%1、"/>
      <w:lvlJc w:val="left"/>
      <w:rPr>
        <w:rFonts w:hint="eastAsia"/>
      </w:rPr>
    </w:lvl>
  </w:abstractNum>
  <w:abstractNum w:abstractNumId="1">
    <w:nsid w:val="7AAFE5E3"/>
    <w:multiLevelType w:val="singleLevel"/>
    <w:tmpl w:val="7AAFE5E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B096A"/>
    <w:rsid w:val="05F155DF"/>
    <w:rsid w:val="098B096A"/>
    <w:rsid w:val="0CE063EB"/>
    <w:rsid w:val="0D8D4A31"/>
    <w:rsid w:val="0DB878F0"/>
    <w:rsid w:val="14414C15"/>
    <w:rsid w:val="17AD5C65"/>
    <w:rsid w:val="27600184"/>
    <w:rsid w:val="27FE0087"/>
    <w:rsid w:val="29882108"/>
    <w:rsid w:val="30E06D5B"/>
    <w:rsid w:val="3C544A58"/>
    <w:rsid w:val="4AC36F62"/>
    <w:rsid w:val="68F140B3"/>
    <w:rsid w:val="6C3A508C"/>
    <w:rsid w:val="72AF5B9A"/>
    <w:rsid w:val="7A7A3508"/>
    <w:rsid w:val="7B733B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sz w:val="24"/>
      <w:szCs w:val="24"/>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Emphasis"/>
    <w:basedOn w:val="6"/>
    <w:qFormat/>
    <w:uiPriority w:val="0"/>
    <w:rPr>
      <w:color w:val="CC0000"/>
      <w:sz w:val="24"/>
      <w:szCs w:val="24"/>
    </w:rPr>
  </w:style>
  <w:style w:type="character" w:styleId="11">
    <w:name w:val="Hyperlink"/>
    <w:basedOn w:val="6"/>
    <w:qFormat/>
    <w:uiPriority w:val="0"/>
    <w:rPr>
      <w:color w:val="0000FF"/>
      <w:u w:val="none"/>
    </w:rPr>
  </w:style>
  <w:style w:type="character" w:styleId="12">
    <w:name w:val="HTML Cite"/>
    <w:basedOn w:val="6"/>
    <w:qFormat/>
    <w:uiPriority w:val="0"/>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2018-02-07T06:27:00Z</dcterms:created>
  <dc:creator>Administrator</dc:creator>
  <cp:lastModifiedBy>lenovo1</cp:lastModifiedBy>
  <dcterms:modified xsi:type="dcterms:W3CDTF">2019-04-29T01:20:42Z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