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检测生鲜乳中百草枯快速检测卡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百草枯</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百草枯</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 xml:space="preserve">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w:t>
      </w:r>
      <w:r>
        <w:rPr>
          <w:rFonts w:hint="eastAsia"/>
          <w:lang w:val="en-US" w:eastAsia="zh-CN"/>
        </w:rPr>
        <w:tab/>
      </w:r>
      <w:r>
        <w:rPr>
          <w:rFonts w:hint="eastAsia" w:ascii="宋体" w:hAnsi="宋体" w:eastAsia="宋体" w:cs="宋体"/>
          <w:b w:val="0"/>
          <w:bCs w:val="0"/>
          <w:sz w:val="24"/>
          <w:szCs w:val="24"/>
        </w:rPr>
        <w:t>β-内酰胺类抗生素快速检测卡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bookmarkStart w:id="0" w:name="_GoBack"/>
      <w:bookmarkEnd w:id="0"/>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44E48"/>
    <w:rsid w:val="672E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486</Words>
  <Characters>492</Characters>
  <Lines>0</Lines>
  <Paragraphs>0</Paragraphs>
  <TotalTime>0</TotalTime>
  <ScaleCrop>false</ScaleCrop>
  <LinksUpToDate>false</LinksUpToDate>
  <CharactersWithSpaces>585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52AF9576B7A741739C13A79BDD525F1E</vt:lpwstr>
  </property>
</Properties>
</file>