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ind w:left="0" w:leftChars="0" w:firstLine="0" w:firstLineChars="0"/>
        <w:jc w:val="center"/>
        <w:rPr>
          <w:rFonts w:ascii="华文中宋" w:hAnsi="华文中宋" w:eastAsia="华文中宋"/>
          <w:sz w:val="44"/>
          <w:szCs w:val="44"/>
          <w:lang w:eastAsia="zh-CN"/>
        </w:rPr>
      </w:pPr>
      <w:r>
        <w:rPr>
          <w:rFonts w:hint="eastAsia" w:ascii="华文中宋" w:hAnsi="华文中宋" w:eastAsia="华文中宋"/>
          <w:sz w:val="44"/>
          <w:szCs w:val="44"/>
          <w:lang w:eastAsia="zh-CN"/>
        </w:rPr>
        <w:t>快速</w:t>
      </w:r>
      <w:r>
        <w:rPr>
          <w:rFonts w:hint="eastAsia" w:ascii="华文中宋" w:hAnsi="华文中宋" w:eastAsia="华文中宋"/>
          <w:sz w:val="44"/>
          <w:szCs w:val="44"/>
          <w:lang w:val="en-US" w:eastAsia="zh-CN"/>
        </w:rPr>
        <w:t>病毒R</w:t>
      </w:r>
      <w:r>
        <w:rPr>
          <w:rFonts w:ascii="华文中宋" w:hAnsi="华文中宋" w:eastAsia="华文中宋"/>
          <w:sz w:val="44"/>
          <w:szCs w:val="44"/>
          <w:lang w:eastAsia="zh-CN"/>
        </w:rPr>
        <w:t>NA免核酸提取</w:t>
      </w:r>
    </w:p>
    <w:p>
      <w:pPr>
        <w:pStyle w:val="7"/>
        <w:ind w:left="0" w:leftChars="0" w:firstLine="0" w:firstLineChars="0"/>
        <w:jc w:val="center"/>
        <w:rPr>
          <w:rFonts w:hint="default" w:ascii="华文中宋" w:hAnsi="华文中宋" w:eastAsia="华文中宋"/>
          <w:b w:val="0"/>
          <w:w w:val="95"/>
          <w:lang w:val="en-US" w:eastAsia="zh-CN"/>
        </w:rPr>
      </w:pPr>
      <w:r>
        <w:rPr>
          <w:rFonts w:hint="eastAsia" w:ascii="华文中宋" w:hAnsi="华文中宋" w:eastAsia="华文中宋"/>
          <w:sz w:val="44"/>
          <w:szCs w:val="44"/>
          <w:lang w:val="en-US" w:eastAsia="zh-CN"/>
        </w:rPr>
        <w:t>SYBR Green荧光PCR检测</w:t>
      </w:r>
      <w:r>
        <w:rPr>
          <w:rFonts w:ascii="华文中宋" w:hAnsi="华文中宋" w:eastAsia="华文中宋"/>
          <w:sz w:val="44"/>
          <w:szCs w:val="44"/>
          <w:lang w:eastAsia="zh-CN"/>
        </w:rPr>
        <w:t>试剂</w:t>
      </w:r>
      <w:r>
        <w:rPr>
          <w:rFonts w:hint="eastAsia" w:ascii="华文中宋" w:hAnsi="华文中宋" w:eastAsia="华文中宋"/>
          <w:sz w:val="44"/>
          <w:szCs w:val="44"/>
          <w:lang w:val="en-US" w:eastAsia="zh-CN"/>
        </w:rPr>
        <w:t>盒</w:t>
      </w:r>
    </w:p>
    <w:p>
      <w:pPr>
        <w:pStyle w:val="3"/>
        <w:spacing w:before="83" w:line="321" w:lineRule="auto"/>
        <w:ind w:left="116" w:right="162" w:firstLine="398" w:firstLineChars="200"/>
        <w:jc w:val="both"/>
        <w:rPr>
          <w:w w:val="95"/>
          <w:lang w:eastAsia="zh-CN"/>
        </w:rPr>
      </w:pPr>
    </w:p>
    <w:p>
      <w:pPr>
        <w:spacing w:line="276" w:lineRule="auto"/>
        <w:jc w:val="left"/>
        <w:rPr>
          <w:rFonts w:hint="eastAsia" w:ascii="Times New Roman" w:hAnsi="Times New Roman" w:cs="Times New Roman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b/>
          <w:w w:val="95"/>
          <w:sz w:val="24"/>
          <w:szCs w:val="24"/>
          <w:lang w:eastAsia="zh-CN"/>
        </w:rPr>
        <w:t>试剂盒简介：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本试剂盒中采用独特配方，能够快速高效的裂解各种常见样本，</w:t>
      </w:r>
      <w:r>
        <w:rPr>
          <w:rFonts w:hint="eastAsia" w:ascii="Times New Roman" w:hAnsi="Times New Roman" w:cs="Times New Roman" w:eastAsiaTheme="minorEastAsia"/>
          <w:sz w:val="24"/>
          <w:szCs w:val="24"/>
          <w:lang w:val="en-US" w:eastAsia="zh-CN"/>
        </w:rPr>
        <w:t>无需重复离心便可获得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高质量的</w:t>
      </w:r>
      <w:r>
        <w:rPr>
          <w:rFonts w:hint="eastAsia" w:ascii="Times New Roman" w:hAnsi="Times New Roman" w:cs="Times New Roman" w:eastAsiaTheme="minorEastAsia"/>
          <w:sz w:val="24"/>
          <w:szCs w:val="24"/>
          <w:lang w:val="en-US" w:eastAsia="zh-CN"/>
        </w:rPr>
        <w:t>病毒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RNA</w:t>
      </w:r>
      <w:r>
        <w:rPr>
          <w:rFonts w:hint="eastAsia" w:ascii="Times New Roman" w:hAnsi="Times New Roman" w:cs="Times New Roman" w:eastAsiaTheme="minorEastAsia"/>
          <w:sz w:val="24"/>
          <w:szCs w:val="24"/>
          <w:lang w:val="en-US" w:eastAsia="zh-CN"/>
        </w:rPr>
        <w:t>，适用于以RNA为模板的定量PCR的检测。本产品可用于细胞培养液、血液、血清中病毒R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NA的提取。</w:t>
      </w:r>
    </w:p>
    <w:p>
      <w:pPr>
        <w:spacing w:line="276" w:lineRule="auto"/>
        <w:jc w:val="left"/>
        <w:rPr>
          <w:rFonts w:hint="default" w:asciiTheme="minorEastAsia" w:hAnsiTheme="minorEastAsia" w:eastAsiaTheme="minorEastAsia"/>
          <w:w w:val="95"/>
          <w:sz w:val="24"/>
          <w:szCs w:val="24"/>
          <w:lang w:val="en-US" w:eastAsia="zh-CN"/>
        </w:rPr>
      </w:pPr>
    </w:p>
    <w:p>
      <w:pPr>
        <w:pStyle w:val="2"/>
        <w:spacing w:after="54"/>
        <w:ind w:left="0" w:leftChars="0" w:firstLine="0" w:firstLineChars="0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试剂盒组成</w:t>
      </w:r>
    </w:p>
    <w:tbl>
      <w:tblPr>
        <w:tblStyle w:val="10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22"/>
        <w:gridCol w:w="34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2722" w:type="dxa"/>
          </w:tcPr>
          <w:p>
            <w:pPr>
              <w:pStyle w:val="12"/>
              <w:spacing w:before="37"/>
              <w:jc w:val="center"/>
              <w:rPr>
                <w:rFonts w:ascii="宋体" w:eastAsia="宋体"/>
                <w:sz w:val="21"/>
              </w:rPr>
            </w:pPr>
            <w:r>
              <w:rPr>
                <w:rFonts w:hint="eastAsia" w:ascii="宋体" w:eastAsia="宋体"/>
                <w:b/>
                <w:bCs/>
                <w:sz w:val="21"/>
              </w:rPr>
              <w:t>组分</w:t>
            </w:r>
          </w:p>
        </w:tc>
        <w:tc>
          <w:tcPr>
            <w:tcW w:w="3434" w:type="dxa"/>
          </w:tcPr>
          <w:p>
            <w:pPr>
              <w:pStyle w:val="12"/>
              <w:spacing w:before="59"/>
              <w:ind w:left="1084" w:right="106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M-DNA01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  <w:jc w:val="center"/>
        </w:trPr>
        <w:tc>
          <w:tcPr>
            <w:tcW w:w="2722" w:type="dxa"/>
          </w:tcPr>
          <w:p>
            <w:pPr>
              <w:pStyle w:val="12"/>
              <w:spacing w:before="59"/>
              <w:jc w:val="center"/>
              <w:rPr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R</w:t>
            </w:r>
            <w:r>
              <w:rPr>
                <w:sz w:val="21"/>
              </w:rPr>
              <w:t>NA-Lysis</w:t>
            </w:r>
          </w:p>
        </w:tc>
        <w:tc>
          <w:tcPr>
            <w:tcW w:w="3434" w:type="dxa"/>
          </w:tcPr>
          <w:p>
            <w:pPr>
              <w:pStyle w:val="12"/>
              <w:spacing w:before="59"/>
              <w:jc w:val="center"/>
              <w:rPr>
                <w:sz w:val="21"/>
              </w:rPr>
            </w:pPr>
            <w:r>
              <w:rPr>
                <w:rFonts w:hint="eastAsia" w:eastAsia="宋体"/>
                <w:sz w:val="21"/>
                <w:lang w:eastAsia="zh-CN"/>
              </w:rPr>
              <w:t xml:space="preserve"> </w:t>
            </w:r>
            <w:r>
              <w:rPr>
                <w:rFonts w:hint="eastAsia" w:eastAsia="宋体"/>
                <w:sz w:val="21"/>
                <w:lang w:val="en-US" w:eastAsia="zh-CN"/>
              </w:rPr>
              <w:t xml:space="preserve">      </w:t>
            </w:r>
            <w:r>
              <w:rPr>
                <w:rFonts w:hint="eastAsia" w:eastAsia="宋体"/>
                <w:sz w:val="21"/>
                <w:lang w:eastAsia="zh-CN"/>
              </w:rPr>
              <w:t xml:space="preserve"> </w:t>
            </w:r>
            <w:r>
              <w:rPr>
                <w:rFonts w:hint="eastAsia" w:eastAsia="宋体"/>
                <w:sz w:val="21"/>
                <w:lang w:val="en-US" w:eastAsia="zh-CN"/>
              </w:rPr>
              <w:t xml:space="preserve"> </w:t>
            </w:r>
            <w:r>
              <w:rPr>
                <w:sz w:val="21"/>
              </w:rPr>
              <w:t>1</w:t>
            </w:r>
            <w:r>
              <w:rPr>
                <w:rFonts w:hint="eastAsia" w:eastAsia="宋体"/>
                <w:sz w:val="21"/>
                <w:lang w:val="en-US" w:eastAsia="zh-CN"/>
              </w:rPr>
              <w:t>.5</w:t>
            </w:r>
            <w:r>
              <w:rPr>
                <w:sz w:val="21"/>
              </w:rPr>
              <w:t xml:space="preserve"> mL</w:t>
            </w:r>
            <w:r>
              <w:rPr>
                <w:rFonts w:hint="eastAsia" w:eastAsia="宋体"/>
                <w:sz w:val="21"/>
                <w:lang w:eastAsia="zh-CN"/>
              </w:rPr>
              <w:t xml:space="preserve">   </w:t>
            </w:r>
            <w:r>
              <w:rPr>
                <w:rFonts w:hint="eastAsia" w:eastAsia="宋体"/>
                <w:sz w:val="21"/>
                <w:lang w:val="en-US" w:eastAsia="zh-CN"/>
              </w:rPr>
              <w:t xml:space="preserve">   </w:t>
            </w:r>
            <w:r>
              <w:rPr>
                <w:rFonts w:hint="eastAsia"/>
                <w:sz w:val="21"/>
              </w:rPr>
              <w:t>（5</w:t>
            </w:r>
            <w:r>
              <w:rPr>
                <w:sz w:val="21"/>
              </w:rPr>
              <w:t>0T</w:t>
            </w:r>
            <w:r>
              <w:rPr>
                <w:rFonts w:hint="eastAsia"/>
                <w:sz w:val="21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  <w:jc w:val="center"/>
        </w:trPr>
        <w:tc>
          <w:tcPr>
            <w:tcW w:w="2722" w:type="dxa"/>
          </w:tcPr>
          <w:p>
            <w:pPr>
              <w:pStyle w:val="12"/>
              <w:spacing w:before="59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2</w:t>
            </w:r>
            <w:r>
              <w:rPr>
                <w:sz w:val="21"/>
              </w:rPr>
              <w:t>×</w:t>
            </w:r>
            <w:r>
              <w:rPr>
                <w:rFonts w:hint="eastAsia" w:eastAsia="宋体"/>
                <w:sz w:val="21"/>
                <w:lang w:val="en-US" w:eastAsia="zh-CN"/>
              </w:rPr>
              <w:t xml:space="preserve">one step SYBR Green Mix </w:t>
            </w:r>
          </w:p>
        </w:tc>
        <w:tc>
          <w:tcPr>
            <w:tcW w:w="3434" w:type="dxa"/>
          </w:tcPr>
          <w:p>
            <w:pPr>
              <w:pStyle w:val="12"/>
              <w:spacing w:before="59"/>
              <w:ind w:firstLine="1050" w:firstLineChars="500"/>
              <w:jc w:val="both"/>
              <w:rPr>
                <w:sz w:val="21"/>
                <w:lang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2</w:t>
            </w:r>
            <w:r>
              <w:rPr>
                <w:rFonts w:hint="eastAsia"/>
                <w:sz w:val="21"/>
                <w:lang w:eastAsia="zh-CN"/>
              </w:rPr>
              <w:t xml:space="preserve">00 </w:t>
            </w:r>
            <w:r>
              <w:rPr>
                <w:sz w:val="21"/>
              </w:rPr>
              <w:t>μL</w:t>
            </w:r>
            <w:r>
              <w:rPr>
                <w:rFonts w:hint="eastAsia"/>
                <w:sz w:val="21"/>
                <w:lang w:eastAsia="zh-CN"/>
              </w:rPr>
              <w:t xml:space="preserve"> </w:t>
            </w:r>
            <w:r>
              <w:rPr>
                <w:rFonts w:hint="eastAsia"/>
                <w:sz w:val="21"/>
                <w:lang w:val="en-US" w:eastAsia="zh-CN"/>
              </w:rPr>
              <w:t xml:space="preserve">      </w:t>
            </w:r>
            <w:r>
              <w:rPr>
                <w:rFonts w:hint="eastAsia"/>
                <w:sz w:val="21"/>
                <w:lang w:eastAsia="zh-CN"/>
              </w:rPr>
              <w:t>( 50T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  <w:jc w:val="center"/>
        </w:trPr>
        <w:tc>
          <w:tcPr>
            <w:tcW w:w="2722" w:type="dxa"/>
          </w:tcPr>
          <w:p>
            <w:pPr>
              <w:pStyle w:val="12"/>
              <w:spacing w:before="59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bookmarkStart w:id="0" w:name="_Hlk59022763"/>
            <w:r>
              <w:rPr>
                <w:rFonts w:hint="eastAsia" w:eastAsia="宋体"/>
                <w:sz w:val="21"/>
                <w:lang w:val="en-US" w:eastAsia="zh-CN"/>
              </w:rPr>
              <w:t>SYBR Green Enzyme</w:t>
            </w:r>
          </w:p>
        </w:tc>
        <w:tc>
          <w:tcPr>
            <w:tcW w:w="3434" w:type="dxa"/>
          </w:tcPr>
          <w:p>
            <w:pPr>
              <w:pStyle w:val="12"/>
              <w:spacing w:before="59"/>
              <w:ind w:firstLine="1050" w:firstLineChars="500"/>
              <w:jc w:val="both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5</w:t>
            </w:r>
            <w:r>
              <w:rPr>
                <w:rFonts w:hint="eastAsia"/>
                <w:sz w:val="21"/>
                <w:lang w:eastAsia="zh-CN"/>
              </w:rPr>
              <w:t xml:space="preserve">0 </w:t>
            </w:r>
            <w:r>
              <w:rPr>
                <w:sz w:val="21"/>
              </w:rPr>
              <w:t>μL</w:t>
            </w:r>
            <w:r>
              <w:rPr>
                <w:rFonts w:hint="eastAsia"/>
                <w:sz w:val="21"/>
                <w:lang w:eastAsia="zh-CN"/>
              </w:rPr>
              <w:t xml:space="preserve"> </w:t>
            </w:r>
            <w:r>
              <w:rPr>
                <w:rFonts w:hint="eastAsia"/>
                <w:sz w:val="21"/>
                <w:lang w:val="en-US" w:eastAsia="zh-CN"/>
              </w:rPr>
              <w:t xml:space="preserve">        </w:t>
            </w:r>
            <w:r>
              <w:rPr>
                <w:rFonts w:hint="eastAsia"/>
                <w:sz w:val="21"/>
                <w:lang w:eastAsia="zh-CN"/>
              </w:rPr>
              <w:t>( 50T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  <w:jc w:val="center"/>
        </w:trPr>
        <w:tc>
          <w:tcPr>
            <w:tcW w:w="2722" w:type="dxa"/>
          </w:tcPr>
          <w:p>
            <w:pPr>
              <w:pStyle w:val="12"/>
              <w:spacing w:before="59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样品稀释液</w:t>
            </w:r>
          </w:p>
        </w:tc>
        <w:tc>
          <w:tcPr>
            <w:tcW w:w="3434" w:type="dxa"/>
          </w:tcPr>
          <w:p>
            <w:pPr>
              <w:pStyle w:val="12"/>
              <w:spacing w:before="59"/>
              <w:ind w:firstLine="1050" w:firstLineChars="500"/>
              <w:jc w:val="both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 xml:space="preserve">20  ml         </w:t>
            </w:r>
            <w:r>
              <w:rPr>
                <w:rFonts w:hint="eastAsia"/>
                <w:sz w:val="21"/>
                <w:lang w:eastAsia="zh-CN"/>
              </w:rPr>
              <w:t>( 50T )</w:t>
            </w:r>
          </w:p>
        </w:tc>
      </w:tr>
    </w:tbl>
    <w:p>
      <w:pPr>
        <w:spacing w:before="141"/>
        <w:rPr>
          <w:rFonts w:asciiTheme="minorEastAsia" w:hAnsiTheme="minorEastAsia" w:eastAsiaTheme="minorEastAsia"/>
          <w:spacing w:val="-7"/>
          <w:sz w:val="24"/>
          <w:szCs w:val="24"/>
          <w:lang w:eastAsia="zh-CN"/>
        </w:rPr>
      </w:pPr>
      <w:r>
        <w:rPr>
          <w:rFonts w:asciiTheme="minorEastAsia" w:hAnsiTheme="minorEastAsia" w:eastAsiaTheme="minorEastAsia"/>
          <w:b/>
          <w:sz w:val="24"/>
          <w:szCs w:val="24"/>
        </w:rPr>
        <w:t>保存</w:t>
      </w:r>
      <w:r>
        <w:rPr>
          <w:rFonts w:hint="eastAsia" w:asciiTheme="minorEastAsia" w:hAnsiTheme="minorEastAsia" w:eastAsiaTheme="minorEastAsia"/>
          <w:b/>
          <w:sz w:val="24"/>
          <w:szCs w:val="24"/>
          <w:lang w:eastAsia="zh-CN"/>
        </w:rPr>
        <w:t>期</w:t>
      </w:r>
      <w:bookmarkEnd w:id="0"/>
      <w:bookmarkStart w:id="1" w:name="_Hlk59022745"/>
      <w:r>
        <w:rPr>
          <w:rFonts w:hint="eastAsia" w:asciiTheme="minorEastAsia" w:hAnsiTheme="minorEastAsia" w:eastAsiaTheme="minorEastAsia"/>
          <w:b/>
          <w:sz w:val="24"/>
          <w:szCs w:val="24"/>
          <w:lang w:eastAsia="zh-CN"/>
        </w:rPr>
        <w:t>：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-20</w:t>
      </w:r>
      <w:r>
        <w:rPr>
          <w:rFonts w:asciiTheme="minorEastAsia" w:hAnsiTheme="minorEastAsia" w:eastAsiaTheme="minorEastAsia"/>
          <w:sz w:val="24"/>
          <w:szCs w:val="24"/>
          <w:lang w:eastAsia="zh-CN"/>
        </w:rPr>
        <w:t xml:space="preserve">ºC </w:t>
      </w:r>
      <w:r>
        <w:rPr>
          <w:rFonts w:asciiTheme="minorEastAsia" w:hAnsiTheme="minorEastAsia" w:eastAsiaTheme="minorEastAsia"/>
          <w:spacing w:val="-7"/>
          <w:sz w:val="24"/>
          <w:szCs w:val="24"/>
          <w:lang w:eastAsia="zh-CN"/>
        </w:rPr>
        <w:t>保存</w:t>
      </w:r>
      <w:r>
        <w:rPr>
          <w:rFonts w:hint="eastAsia" w:asciiTheme="minorEastAsia" w:hAnsiTheme="minorEastAsia" w:eastAsiaTheme="minorEastAsia"/>
          <w:spacing w:val="-7"/>
          <w:sz w:val="24"/>
          <w:szCs w:val="24"/>
          <w:lang w:eastAsia="zh-CN"/>
        </w:rPr>
        <w:t>，保存期一年。</w:t>
      </w:r>
    </w:p>
    <w:p>
      <w:pPr>
        <w:pStyle w:val="3"/>
        <w:spacing w:before="84"/>
        <w:ind w:left="0"/>
        <w:rPr>
          <w:rFonts w:asciiTheme="minorEastAsia" w:hAnsiTheme="minorEastAsia" w:eastAsiaTheme="minorEastAsia"/>
          <w:b/>
          <w:bCs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b/>
          <w:bCs/>
          <w:spacing w:val="-7"/>
          <w:sz w:val="24"/>
          <w:szCs w:val="24"/>
          <w:lang w:eastAsia="zh-CN"/>
        </w:rPr>
        <w:t>注意：</w:t>
      </w:r>
      <w:r>
        <w:rPr>
          <w:rFonts w:asciiTheme="minorEastAsia" w:hAnsiTheme="minorEastAsia" w:eastAsiaTheme="minorEastAsia"/>
          <w:b/>
          <w:bCs/>
          <w:spacing w:val="-7"/>
          <w:sz w:val="24"/>
          <w:szCs w:val="24"/>
          <w:lang w:eastAsia="zh-CN"/>
        </w:rPr>
        <w:t>使用前将</w:t>
      </w:r>
      <w:r>
        <w:rPr>
          <w:rFonts w:hint="eastAsia" w:asciiTheme="minorEastAsia" w:hAnsiTheme="minorEastAsia" w:eastAsiaTheme="minorEastAsia"/>
          <w:b/>
          <w:bCs/>
          <w:sz w:val="24"/>
          <w:szCs w:val="24"/>
          <w:lang w:val="en-US" w:eastAsia="zh-CN"/>
        </w:rPr>
        <w:t>R</w:t>
      </w:r>
      <w:r>
        <w:rPr>
          <w:rFonts w:asciiTheme="minorEastAsia" w:hAnsiTheme="minorEastAsia" w:eastAsiaTheme="minorEastAsia"/>
          <w:b/>
          <w:bCs/>
          <w:sz w:val="24"/>
          <w:szCs w:val="24"/>
          <w:lang w:eastAsia="zh-CN"/>
        </w:rPr>
        <w:t>NA-Lysis室温充分混匀。</w:t>
      </w:r>
    </w:p>
    <w:bookmarkEnd w:id="1"/>
    <w:p>
      <w:pPr>
        <w:pStyle w:val="2"/>
        <w:spacing w:before="169"/>
        <w:ind w:left="0"/>
        <w:rPr>
          <w:rFonts w:asciiTheme="minorEastAsia" w:hAnsiTheme="minorEastAsia" w:eastAsiaTheme="minorEastAsia"/>
          <w:b w:val="0"/>
          <w:bCs w:val="0"/>
          <w:sz w:val="24"/>
          <w:szCs w:val="24"/>
          <w:u w:val="none"/>
          <w:lang w:eastAsia="zh-CN"/>
        </w:rPr>
      </w:pPr>
      <w:r>
        <w:rPr>
          <w:rFonts w:asciiTheme="minorEastAsia" w:hAnsiTheme="minorEastAsia" w:eastAsiaTheme="minorEastAsia"/>
          <w:sz w:val="24"/>
          <w:szCs w:val="24"/>
          <w:u w:val="none"/>
          <w:lang w:eastAsia="zh-CN"/>
        </w:rPr>
        <w:t>准备</w:t>
      </w:r>
      <w:r>
        <w:rPr>
          <w:rFonts w:hint="eastAsia" w:asciiTheme="minorEastAsia" w:hAnsiTheme="minorEastAsia" w:eastAsiaTheme="minorEastAsia"/>
          <w:sz w:val="24"/>
          <w:szCs w:val="24"/>
          <w:u w:val="none"/>
          <w:lang w:eastAsia="zh-CN"/>
        </w:rPr>
        <w:t>的仪器：</w:t>
      </w:r>
      <w:r>
        <w:rPr>
          <w:rFonts w:asciiTheme="minorEastAsia" w:hAnsiTheme="minorEastAsia" w:eastAsiaTheme="minorEastAsia"/>
          <w:b w:val="0"/>
          <w:bCs w:val="0"/>
          <w:sz w:val="24"/>
          <w:szCs w:val="24"/>
          <w:u w:val="none"/>
          <w:lang w:eastAsia="zh-CN"/>
        </w:rPr>
        <w:t>离心机</w:t>
      </w:r>
      <w:r>
        <w:rPr>
          <w:rFonts w:hint="eastAsia" w:asciiTheme="minorEastAsia" w:hAnsiTheme="minorEastAsia" w:eastAsiaTheme="minorEastAsia"/>
          <w:b w:val="0"/>
          <w:bCs w:val="0"/>
          <w:sz w:val="24"/>
          <w:szCs w:val="24"/>
          <w:u w:val="none"/>
          <w:lang w:eastAsia="zh-CN"/>
        </w:rPr>
        <w:t>、移液器、PCR仪</w:t>
      </w:r>
    </w:p>
    <w:p>
      <w:pPr>
        <w:pStyle w:val="2"/>
        <w:ind w:left="0"/>
        <w:rPr>
          <w:rFonts w:asciiTheme="minorEastAsia" w:hAnsiTheme="minorEastAsia" w:eastAsiaTheme="minorEastAsia"/>
          <w:sz w:val="24"/>
          <w:szCs w:val="24"/>
          <w:u w:val="none"/>
          <w:lang w:eastAsia="zh-CN"/>
        </w:rPr>
      </w:pPr>
      <w:r>
        <w:rPr>
          <w:rFonts w:asciiTheme="minorEastAsia" w:hAnsiTheme="minorEastAsia" w:eastAsiaTheme="minorEastAsia"/>
          <w:sz w:val="24"/>
          <w:szCs w:val="24"/>
          <w:u w:val="none"/>
          <w:lang w:eastAsia="zh-CN"/>
        </w:rPr>
        <w:t>使用方法</w:t>
      </w:r>
    </w:p>
    <w:p>
      <w:pPr>
        <w:pStyle w:val="3"/>
        <w:numPr>
          <w:ilvl w:val="0"/>
          <w:numId w:val="1"/>
        </w:numPr>
        <w:spacing w:before="83"/>
        <w:rPr>
          <w:rFonts w:asciiTheme="minorEastAsia" w:hAnsiTheme="minorEastAsia" w:eastAsiaTheme="minorEastAsia"/>
          <w:b/>
          <w:bCs/>
          <w:sz w:val="24"/>
          <w:szCs w:val="24"/>
          <w:lang w:eastAsia="zh-CN"/>
        </w:rPr>
      </w:pPr>
      <w:r>
        <w:rPr>
          <w:rFonts w:asciiTheme="minorEastAsia" w:hAnsiTheme="minorEastAsia" w:eastAsiaTheme="minorEastAsia"/>
          <w:b/>
          <w:bCs/>
          <w:sz w:val="24"/>
          <w:szCs w:val="24"/>
          <w:lang w:eastAsia="zh-CN"/>
        </w:rPr>
        <w:t>样品的处理方法</w:t>
      </w:r>
    </w:p>
    <w:p>
      <w:pPr>
        <w:spacing w:line="276" w:lineRule="auto"/>
        <w:jc w:val="left"/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 w:eastAsiaTheme="minorEastAsia"/>
          <w:sz w:val="24"/>
          <w:szCs w:val="24"/>
          <w:lang w:val="en-US" w:eastAsia="zh-CN"/>
        </w:rPr>
        <w:t>1.少量样本处理方法</w:t>
      </w:r>
    </w:p>
    <w:p>
      <w:pPr>
        <w:spacing w:line="276" w:lineRule="auto"/>
        <w:jc w:val="left"/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 w:eastAsiaTheme="minorEastAsia"/>
          <w:sz w:val="24"/>
          <w:szCs w:val="24"/>
          <w:lang w:val="en-US" w:eastAsia="zh-CN"/>
        </w:rPr>
        <w:t>（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1）</w:t>
      </w:r>
      <w:r>
        <w:rPr>
          <w:rFonts w:hint="eastAsia" w:ascii="Times New Roman" w:hAnsi="Times New Roman" w:cs="Times New Roman" w:eastAsiaTheme="minorEastAsia"/>
          <w:sz w:val="24"/>
          <w:szCs w:val="24"/>
          <w:lang w:val="en-US" w:eastAsia="zh-CN"/>
        </w:rPr>
        <w:t>吸取15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μL</w:t>
      </w:r>
      <w:r>
        <w:rPr>
          <w:rFonts w:hint="eastAsia" w:ascii="Times New Roman" w:hAnsi="Times New Roman" w:cs="Times New Roman" w:eastAsiaTheme="minorEastAsia"/>
          <w:sz w:val="24"/>
          <w:szCs w:val="24"/>
          <w:lang w:val="en-US" w:eastAsia="zh-CN"/>
        </w:rPr>
        <w:t>样本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放入</w:t>
      </w:r>
      <w:r>
        <w:rPr>
          <w:rFonts w:hint="eastAsia" w:ascii="Times New Roman" w:hAnsi="Times New Roman" w:cs="Times New Roman" w:eastAsiaTheme="minorEastAsia"/>
          <w:sz w:val="24"/>
          <w:szCs w:val="24"/>
          <w:lang w:val="en-US" w:eastAsia="zh-CN"/>
        </w:rPr>
        <w:t>1.5ml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离心管中。</w:t>
      </w:r>
    </w:p>
    <w:p>
      <w:pPr>
        <w:spacing w:line="276" w:lineRule="auto"/>
        <w:jc w:val="left"/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 w:eastAsiaTheme="minorEastAsia"/>
          <w:sz w:val="24"/>
          <w:szCs w:val="24"/>
          <w:lang w:val="en-US" w:eastAsia="zh-CN"/>
        </w:rPr>
        <w:t>（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2）加入2</w:t>
      </w:r>
      <w:r>
        <w:rPr>
          <w:rFonts w:hint="eastAsia" w:ascii="Times New Roman" w:hAnsi="Times New Roman" w:cs="Times New Roman" w:eastAsiaTheme="minorEastAsia"/>
          <w:sz w:val="24"/>
          <w:szCs w:val="24"/>
          <w:lang w:val="en-US" w:eastAsia="zh-CN"/>
        </w:rPr>
        <w:t>5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 xml:space="preserve"> μL </w:t>
      </w:r>
      <w:r>
        <w:rPr>
          <w:rFonts w:hint="eastAsia" w:ascii="Times New Roman" w:hAnsi="Times New Roman" w:cs="Times New Roman" w:eastAsiaTheme="minorEastAsia"/>
          <w:sz w:val="24"/>
          <w:szCs w:val="24"/>
          <w:lang w:val="en-US" w:eastAsia="zh-CN"/>
        </w:rPr>
        <w:t>R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NA Lysis。</w:t>
      </w:r>
    </w:p>
    <w:p>
      <w:pPr>
        <w:spacing w:line="276" w:lineRule="auto"/>
        <w:jc w:val="left"/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 w:eastAsiaTheme="minorEastAsia"/>
          <w:sz w:val="24"/>
          <w:szCs w:val="24"/>
          <w:lang w:val="en-US" w:eastAsia="zh-CN"/>
        </w:rPr>
        <w:t>（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3）充分混匀</w:t>
      </w:r>
      <w:r>
        <w:rPr>
          <w:rFonts w:hint="eastAsia" w:ascii="Times New Roman" w:hAnsi="Times New Roman" w:cs="Times New Roman" w:eastAsiaTheme="minorEastAsia"/>
          <w:sz w:val="24"/>
          <w:szCs w:val="24"/>
          <w:lang w:val="en-US" w:eastAsia="zh-CN"/>
        </w:rPr>
        <w:t>,室温静置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5分钟</w:t>
      </w:r>
      <w:r>
        <w:rPr>
          <w:rFonts w:hint="eastAsia" w:ascii="Times New Roman" w:hAnsi="Times New Roman" w:cs="Times New Roman" w:eastAsiaTheme="minorEastAsia"/>
          <w:sz w:val="24"/>
          <w:szCs w:val="24"/>
          <w:lang w:val="en-US" w:eastAsia="zh-CN"/>
        </w:rPr>
        <w:t>，加入350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µL</w:t>
      </w:r>
      <w:r>
        <w:rPr>
          <w:rFonts w:hint="eastAsia" w:ascii="Times New Roman" w:hAnsi="Times New Roman" w:cs="Times New Roman" w:eastAsiaTheme="minorEastAsia"/>
          <w:sz w:val="24"/>
          <w:szCs w:val="24"/>
          <w:lang w:val="en-US" w:eastAsia="zh-CN"/>
        </w:rPr>
        <w:t>样品稀释液混匀。</w:t>
      </w:r>
    </w:p>
    <w:p>
      <w:pPr>
        <w:spacing w:line="276" w:lineRule="auto"/>
        <w:jc w:val="left"/>
        <w:rPr>
          <w:rFonts w:hint="eastAsia" w:ascii="Times New Roman" w:hAnsi="Times New Roman" w:cs="Times New Roman" w:eastAsiaTheme="minorEastAsia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 w:eastAsiaTheme="minorEastAsia"/>
          <w:sz w:val="24"/>
          <w:szCs w:val="24"/>
          <w:lang w:val="en-US" w:eastAsia="zh-CN"/>
        </w:rPr>
        <w:t>（4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）10,000rpm离心1分钟，</w:t>
      </w:r>
      <w:r>
        <w:rPr>
          <w:rFonts w:hint="eastAsia" w:ascii="Times New Roman" w:hAnsi="Times New Roman" w:cs="Times New Roman" w:eastAsiaTheme="minorEastAsia"/>
          <w:sz w:val="24"/>
          <w:szCs w:val="24"/>
          <w:lang w:val="en-US" w:eastAsia="zh-CN"/>
        </w:rPr>
        <w:t>取1-2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μL</w:t>
      </w:r>
      <w:r>
        <w:rPr>
          <w:rFonts w:hint="eastAsia" w:ascii="Times New Roman" w:hAnsi="Times New Roman" w:cs="Times New Roman" w:eastAsiaTheme="minorEastAsia"/>
          <w:sz w:val="24"/>
          <w:szCs w:val="24"/>
          <w:lang w:val="en-US" w:eastAsia="zh-CN"/>
        </w:rPr>
        <w:t>作为PCR反应模板。</w:t>
      </w:r>
    </w:p>
    <w:p>
      <w:pPr>
        <w:spacing w:line="276" w:lineRule="auto"/>
        <w:jc w:val="left"/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 w:eastAsiaTheme="minorEastAsia"/>
          <w:sz w:val="24"/>
          <w:szCs w:val="24"/>
          <w:lang w:val="en-US" w:eastAsia="zh-CN"/>
        </w:rPr>
        <w:t>2.大量样本处理方法</w:t>
      </w:r>
    </w:p>
    <w:p>
      <w:pPr>
        <w:spacing w:line="276" w:lineRule="auto"/>
        <w:jc w:val="left"/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 w:eastAsiaTheme="minorEastAsia"/>
          <w:sz w:val="24"/>
          <w:szCs w:val="24"/>
          <w:lang w:val="en-US" w:eastAsia="zh-CN"/>
        </w:rPr>
        <w:t>（1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）</w:t>
      </w:r>
      <w:r>
        <w:rPr>
          <w:rFonts w:hint="eastAsia" w:ascii="Times New Roman" w:hAnsi="Times New Roman" w:cs="Times New Roman" w:eastAsiaTheme="minorEastAsia"/>
          <w:sz w:val="24"/>
          <w:szCs w:val="24"/>
          <w:lang w:val="en-US" w:eastAsia="zh-CN"/>
        </w:rPr>
        <w:t>分别吸取15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μL</w:t>
      </w:r>
      <w:r>
        <w:rPr>
          <w:rFonts w:hint="eastAsia" w:ascii="Times New Roman" w:hAnsi="Times New Roman" w:cs="Times New Roman" w:eastAsiaTheme="minorEastAsia"/>
          <w:sz w:val="24"/>
          <w:szCs w:val="24"/>
          <w:lang w:val="en-US" w:eastAsia="zh-CN"/>
        </w:rPr>
        <w:t>不同的样本依次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放入</w:t>
      </w:r>
      <w:r>
        <w:rPr>
          <w:rFonts w:hint="eastAsia" w:ascii="Times New Roman" w:hAnsi="Times New Roman" w:cs="Times New Roman" w:eastAsiaTheme="minorEastAsia"/>
          <w:sz w:val="24"/>
          <w:szCs w:val="24"/>
          <w:lang w:val="en-US" w:eastAsia="zh-CN"/>
        </w:rPr>
        <w:t>8联管中。</w:t>
      </w:r>
    </w:p>
    <w:p>
      <w:pPr>
        <w:spacing w:line="276" w:lineRule="auto"/>
        <w:jc w:val="left"/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 w:eastAsiaTheme="minorEastAsia"/>
          <w:sz w:val="24"/>
          <w:szCs w:val="24"/>
          <w:lang w:val="en-US" w:eastAsia="zh-CN"/>
        </w:rPr>
        <w:t>（2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）加入2</w:t>
      </w:r>
      <w:r>
        <w:rPr>
          <w:rFonts w:hint="eastAsia" w:ascii="Times New Roman" w:hAnsi="Times New Roman" w:cs="Times New Roman" w:eastAsiaTheme="minorEastAsia"/>
          <w:sz w:val="24"/>
          <w:szCs w:val="24"/>
          <w:lang w:val="en-US" w:eastAsia="zh-CN"/>
        </w:rPr>
        <w:t>5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 xml:space="preserve"> μL </w:t>
      </w:r>
      <w:r>
        <w:rPr>
          <w:rFonts w:hint="eastAsia" w:ascii="Times New Roman" w:hAnsi="Times New Roman" w:cs="Times New Roman" w:eastAsiaTheme="minorEastAsia"/>
          <w:sz w:val="24"/>
          <w:szCs w:val="24"/>
          <w:lang w:val="en-US" w:eastAsia="zh-CN"/>
        </w:rPr>
        <w:t>R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NA Lysis。</w:t>
      </w:r>
    </w:p>
    <w:p>
      <w:pPr>
        <w:spacing w:line="276" w:lineRule="auto"/>
        <w:jc w:val="left"/>
        <w:rPr>
          <w:rFonts w:hint="eastAsia" w:ascii="Times New Roman" w:hAnsi="Times New Roman" w:cs="Times New Roman" w:eastAsiaTheme="minorEastAsia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 w:eastAsiaTheme="minorEastAsia"/>
          <w:sz w:val="24"/>
          <w:szCs w:val="24"/>
          <w:lang w:val="en-US" w:eastAsia="zh-CN"/>
        </w:rPr>
        <w:t>（3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）充分混匀</w:t>
      </w:r>
      <w:r>
        <w:rPr>
          <w:rFonts w:hint="eastAsia" w:ascii="Times New Roman" w:hAnsi="Times New Roman" w:cs="Times New Roman" w:eastAsiaTheme="minorEastAsia"/>
          <w:sz w:val="24"/>
          <w:szCs w:val="24"/>
          <w:lang w:val="en-US" w:eastAsia="zh-CN"/>
        </w:rPr>
        <w:t>,室温静置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5分钟</w:t>
      </w:r>
      <w:r>
        <w:rPr>
          <w:rFonts w:hint="eastAsia" w:ascii="Times New Roman" w:hAnsi="Times New Roman" w:cs="Times New Roman" w:eastAsiaTheme="minorEastAsia"/>
          <w:sz w:val="24"/>
          <w:szCs w:val="24"/>
          <w:lang w:val="en-US" w:eastAsia="zh-CN"/>
        </w:rPr>
        <w:t>，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10,000rpm离心1分钟</w:t>
      </w:r>
      <w:r>
        <w:rPr>
          <w:rFonts w:hint="eastAsia" w:ascii="Times New Roman" w:hAnsi="Times New Roman" w:cs="Times New Roman" w:eastAsiaTheme="minorEastAsia"/>
          <w:sz w:val="24"/>
          <w:szCs w:val="24"/>
          <w:lang w:val="en-US" w:eastAsia="zh-CN"/>
        </w:rPr>
        <w:t>。</w:t>
      </w:r>
    </w:p>
    <w:p>
      <w:pPr>
        <w:spacing w:line="276" w:lineRule="auto"/>
        <w:jc w:val="left"/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 w:eastAsiaTheme="minorEastAsia"/>
          <w:sz w:val="24"/>
          <w:szCs w:val="24"/>
          <w:lang w:val="en-US" w:eastAsia="zh-CN"/>
        </w:rPr>
        <w:t>（4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）</w:t>
      </w:r>
      <w:r>
        <w:rPr>
          <w:rFonts w:hint="eastAsia" w:ascii="Times New Roman" w:hAnsi="Times New Roman" w:cs="Times New Roman" w:eastAsiaTheme="minorEastAsia"/>
          <w:sz w:val="24"/>
          <w:szCs w:val="24"/>
          <w:lang w:val="en-US" w:eastAsia="zh-CN"/>
        </w:rPr>
        <w:t>分别从（3）中吸取10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μL</w:t>
      </w:r>
      <w:r>
        <w:rPr>
          <w:rFonts w:hint="eastAsia" w:ascii="Times New Roman" w:hAnsi="Times New Roman" w:cs="Times New Roman" w:eastAsiaTheme="minorEastAsia"/>
          <w:sz w:val="24"/>
          <w:szCs w:val="24"/>
          <w:lang w:val="en-US" w:eastAsia="zh-CN"/>
        </w:rPr>
        <w:t>处理后样品依次加入一新的8联管。</w:t>
      </w:r>
    </w:p>
    <w:p>
      <w:pPr>
        <w:spacing w:line="276" w:lineRule="auto"/>
        <w:jc w:val="left"/>
        <w:rPr>
          <w:rFonts w:hint="eastAsia" w:ascii="Times New Roman" w:hAnsi="Times New Roman" w:cs="Times New Roman" w:eastAsiaTheme="minorEastAsia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 w:eastAsiaTheme="minorEastAsia"/>
          <w:sz w:val="24"/>
          <w:szCs w:val="24"/>
          <w:lang w:val="en-US" w:eastAsia="zh-CN"/>
        </w:rPr>
        <w:t>（5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）</w:t>
      </w:r>
      <w:r>
        <w:rPr>
          <w:rFonts w:hint="eastAsia" w:ascii="Times New Roman" w:hAnsi="Times New Roman" w:cs="Times New Roman" w:eastAsiaTheme="minorEastAsia"/>
          <w:sz w:val="24"/>
          <w:szCs w:val="24"/>
          <w:lang w:val="en-US" w:eastAsia="zh-CN"/>
        </w:rPr>
        <w:t>每孔分别加入90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µL</w:t>
      </w:r>
      <w:r>
        <w:rPr>
          <w:rFonts w:hint="eastAsia" w:ascii="Times New Roman" w:hAnsi="Times New Roman" w:cs="Times New Roman" w:eastAsiaTheme="minorEastAsia"/>
          <w:sz w:val="24"/>
          <w:szCs w:val="24"/>
          <w:lang w:val="en-US" w:eastAsia="zh-CN"/>
        </w:rPr>
        <w:t>样品稀释液混匀。取1-2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μL</w:t>
      </w:r>
      <w:r>
        <w:rPr>
          <w:rFonts w:hint="eastAsia" w:ascii="Times New Roman" w:hAnsi="Times New Roman" w:cs="Times New Roman" w:eastAsiaTheme="minorEastAsia"/>
          <w:sz w:val="24"/>
          <w:szCs w:val="24"/>
          <w:lang w:val="en-US" w:eastAsia="zh-CN"/>
        </w:rPr>
        <w:t>作为荧光PCR反应模板。</w:t>
      </w:r>
    </w:p>
    <w:p>
      <w:pPr>
        <w:pStyle w:val="3"/>
        <w:spacing w:after="30"/>
        <w:ind w:left="0"/>
        <w:rPr>
          <w:rFonts w:hint="default" w:asciiTheme="minorEastAsia" w:hAnsiTheme="minorEastAsia" w:eastAsiaTheme="minorEastAsia"/>
          <w:b/>
          <w:bCs/>
          <w:sz w:val="24"/>
          <w:szCs w:val="24"/>
          <w:lang w:val="en-US" w:eastAsia="zh-CN"/>
        </w:rPr>
      </w:pPr>
      <w:r>
        <w:rPr>
          <w:rFonts w:asciiTheme="minorEastAsia" w:hAnsiTheme="minorEastAsia" w:eastAsiaTheme="minorEastAsia"/>
          <w:b/>
          <w:bCs/>
          <w:sz w:val="24"/>
          <w:szCs w:val="24"/>
        </w:rPr>
        <w:t>二、在</w:t>
      </w:r>
      <w:r>
        <w:rPr>
          <w:rFonts w:hint="eastAsia" w:asciiTheme="minorEastAsia" w:hAnsiTheme="minorEastAsia" w:eastAsiaTheme="minorEastAsia"/>
          <w:b/>
          <w:bCs/>
          <w:sz w:val="24"/>
          <w:szCs w:val="24"/>
          <w:lang w:val="en-US" w:eastAsia="zh-CN"/>
        </w:rPr>
        <w:t>R</w:t>
      </w:r>
      <w:r>
        <w:rPr>
          <w:rFonts w:asciiTheme="minorEastAsia" w:hAnsiTheme="minorEastAsia" w:eastAsiaTheme="minorEastAsia"/>
          <w:b/>
          <w:bCs/>
          <w:sz w:val="24"/>
          <w:szCs w:val="24"/>
        </w:rPr>
        <w:t>Nase free 的离心管中配制PCR反应体系</w:t>
      </w:r>
      <w:r>
        <w:rPr>
          <w:rFonts w:hint="eastAsia" w:asciiTheme="minorEastAsia" w:hAnsiTheme="minorEastAsia" w:eastAsiaTheme="minorEastAsia"/>
          <w:b/>
          <w:bCs/>
          <w:sz w:val="24"/>
          <w:szCs w:val="24"/>
          <w:lang w:val="en-US" w:eastAsia="zh-CN"/>
        </w:rPr>
        <w:t>(以ROCH 480 为测试机型)</w:t>
      </w:r>
    </w:p>
    <w:tbl>
      <w:tblPr>
        <w:tblStyle w:val="10"/>
        <w:tblW w:w="619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95"/>
        <w:gridCol w:w="31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95" w:hRule="atLeast"/>
          <w:jc w:val="center"/>
        </w:trPr>
        <w:tc>
          <w:tcPr>
            <w:tcW w:w="3095" w:type="dxa"/>
          </w:tcPr>
          <w:p>
            <w:pPr>
              <w:pStyle w:val="12"/>
              <w:spacing w:before="0"/>
              <w:ind w:left="0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PCR反应体系</w:t>
            </w:r>
          </w:p>
        </w:tc>
        <w:tc>
          <w:tcPr>
            <w:tcW w:w="3104" w:type="dxa"/>
          </w:tcPr>
          <w:p>
            <w:pPr>
              <w:pStyle w:val="12"/>
              <w:spacing w:before="13"/>
              <w:ind w:left="599" w:right="593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 μL</w:t>
            </w: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体系（推荐）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  <w:jc w:val="center"/>
        </w:trPr>
        <w:tc>
          <w:tcPr>
            <w:tcW w:w="3095" w:type="dxa"/>
            <w:vAlign w:val="top"/>
          </w:tcPr>
          <w:p>
            <w:pPr>
              <w:pStyle w:val="12"/>
              <w:spacing w:before="59"/>
              <w:ind w:left="115" w:leftChars="0"/>
              <w:jc w:val="center"/>
              <w:rPr>
                <w:sz w:val="21"/>
                <w:szCs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2</w:t>
            </w:r>
            <w:r>
              <w:rPr>
                <w:sz w:val="21"/>
              </w:rPr>
              <w:t>×</w:t>
            </w:r>
            <w:r>
              <w:rPr>
                <w:rFonts w:hint="eastAsia" w:eastAsia="宋体"/>
                <w:sz w:val="21"/>
                <w:lang w:val="en-US" w:eastAsia="zh-CN"/>
              </w:rPr>
              <w:t xml:space="preserve">one step SYBR Green Mix </w:t>
            </w:r>
          </w:p>
        </w:tc>
        <w:tc>
          <w:tcPr>
            <w:tcW w:w="3104" w:type="dxa"/>
          </w:tcPr>
          <w:p>
            <w:pPr>
              <w:pStyle w:val="12"/>
              <w:ind w:left="592" w:right="593"/>
              <w:jc w:val="center"/>
              <w:rPr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10</w:t>
            </w:r>
            <w:r>
              <w:rPr>
                <w:sz w:val="21"/>
                <w:szCs w:val="21"/>
              </w:rPr>
              <w:t xml:space="preserve"> μL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95" w:hRule="atLeast"/>
          <w:jc w:val="center"/>
        </w:trPr>
        <w:tc>
          <w:tcPr>
            <w:tcW w:w="3095" w:type="dxa"/>
            <w:vAlign w:val="top"/>
          </w:tcPr>
          <w:p>
            <w:pPr>
              <w:pStyle w:val="12"/>
              <w:spacing w:before="59"/>
              <w:ind w:left="115" w:leftChars="0"/>
              <w:jc w:val="center"/>
              <w:rPr>
                <w:sz w:val="21"/>
                <w:szCs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SYBR Green Enzyme</w:t>
            </w:r>
          </w:p>
        </w:tc>
        <w:tc>
          <w:tcPr>
            <w:tcW w:w="3104" w:type="dxa"/>
          </w:tcPr>
          <w:p>
            <w:pPr>
              <w:pStyle w:val="12"/>
              <w:ind w:left="599" w:right="593"/>
              <w:jc w:val="center"/>
              <w:rPr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1</w:t>
            </w:r>
            <w:r>
              <w:rPr>
                <w:sz w:val="21"/>
                <w:szCs w:val="21"/>
              </w:rPr>
              <w:t>μL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jc w:val="center"/>
        </w:trPr>
        <w:tc>
          <w:tcPr>
            <w:tcW w:w="3095" w:type="dxa"/>
            <w:vAlign w:val="top"/>
          </w:tcPr>
          <w:p>
            <w:pPr>
              <w:pStyle w:val="12"/>
              <w:spacing w:before="27"/>
              <w:ind w:left="115" w:leftChars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val="en-US" w:eastAsia="en-US" w:bidi="ar-SA"/>
              </w:rPr>
            </w:pPr>
            <w:r>
              <w:rPr>
                <w:sz w:val="21"/>
                <w:szCs w:val="21"/>
              </w:rPr>
              <w:t>Forward Primer (10 μM)</w:t>
            </w:r>
          </w:p>
        </w:tc>
        <w:tc>
          <w:tcPr>
            <w:tcW w:w="3104" w:type="dxa"/>
            <w:vAlign w:val="top"/>
          </w:tcPr>
          <w:p>
            <w:pPr>
              <w:pStyle w:val="12"/>
              <w:ind w:left="599" w:leftChars="0" w:right="593" w:rightChars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0.4-1</w:t>
            </w:r>
            <w:r>
              <w:rPr>
                <w:sz w:val="21"/>
                <w:szCs w:val="21"/>
              </w:rPr>
              <w:t>μL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  <w:jc w:val="center"/>
        </w:trPr>
        <w:tc>
          <w:tcPr>
            <w:tcW w:w="3095" w:type="dxa"/>
            <w:vAlign w:val="top"/>
          </w:tcPr>
          <w:p>
            <w:pPr>
              <w:pStyle w:val="12"/>
              <w:spacing w:before="27"/>
              <w:ind w:left="115" w:leftChars="0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zh-CN" w:bidi="ar-SA"/>
              </w:rPr>
            </w:pPr>
            <w:r>
              <w:rPr>
                <w:sz w:val="21"/>
                <w:szCs w:val="21"/>
              </w:rPr>
              <w:t>Reverse Primer (10 μM)</w:t>
            </w:r>
          </w:p>
        </w:tc>
        <w:tc>
          <w:tcPr>
            <w:tcW w:w="3104" w:type="dxa"/>
            <w:vAlign w:val="top"/>
          </w:tcPr>
          <w:p>
            <w:pPr>
              <w:pStyle w:val="12"/>
              <w:ind w:left="599" w:leftChars="0" w:right="593" w:rightChars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0.4-1</w:t>
            </w:r>
            <w:r>
              <w:rPr>
                <w:sz w:val="21"/>
                <w:szCs w:val="21"/>
              </w:rPr>
              <w:t xml:space="preserve"> μL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  <w:jc w:val="center"/>
        </w:trPr>
        <w:tc>
          <w:tcPr>
            <w:tcW w:w="3095" w:type="dxa"/>
            <w:vAlign w:val="top"/>
          </w:tcPr>
          <w:p>
            <w:pPr>
              <w:pStyle w:val="12"/>
              <w:spacing w:before="26"/>
              <w:ind w:left="115" w:left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Template </w:t>
            </w: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R</w:t>
            </w:r>
            <w:r>
              <w:rPr>
                <w:sz w:val="21"/>
                <w:szCs w:val="21"/>
              </w:rPr>
              <w:t>NA</w:t>
            </w:r>
          </w:p>
        </w:tc>
        <w:tc>
          <w:tcPr>
            <w:tcW w:w="3104" w:type="dxa"/>
            <w:vAlign w:val="top"/>
          </w:tcPr>
          <w:p>
            <w:pPr>
              <w:pStyle w:val="12"/>
              <w:spacing w:before="50"/>
              <w:ind w:left="599" w:leftChars="0" w:right="593" w:rightChars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1-2</w:t>
            </w:r>
            <w:r>
              <w:rPr>
                <w:sz w:val="21"/>
                <w:szCs w:val="21"/>
              </w:rPr>
              <w:t xml:space="preserve"> μL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3095" w:type="dxa"/>
          </w:tcPr>
          <w:p>
            <w:pPr>
              <w:pStyle w:val="3"/>
              <w:spacing w:before="9"/>
              <w:ind w:left="0"/>
              <w:jc w:val="center"/>
            </w:pPr>
            <w:r>
              <w:rPr>
                <w:rFonts w:ascii="Times New Roman" w:hAnsi="Times New Roman" w:eastAsia="Times New Roman" w:cs="Times New Roman"/>
              </w:rPr>
              <w:t>ddH</w:t>
            </w:r>
            <w:r>
              <w:rPr>
                <w:rFonts w:ascii="Times New Roman" w:hAnsi="Times New Roman" w:eastAsia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eastAsia="Times New Roman" w:cs="Times New Roman"/>
              </w:rPr>
              <w:t>O</w:t>
            </w:r>
          </w:p>
        </w:tc>
        <w:tc>
          <w:tcPr>
            <w:tcW w:w="3104" w:type="dxa"/>
          </w:tcPr>
          <w:p>
            <w:pPr>
              <w:pStyle w:val="12"/>
              <w:ind w:left="599" w:right="593"/>
              <w:jc w:val="center"/>
              <w:rPr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补足至</w:t>
            </w:r>
            <w:r>
              <w:rPr>
                <w:rFonts w:eastAsia="宋体"/>
                <w:sz w:val="21"/>
                <w:szCs w:val="21"/>
                <w:lang w:eastAsia="zh-CN"/>
              </w:rPr>
              <w:t>20 μL</w:t>
            </w:r>
          </w:p>
        </w:tc>
      </w:tr>
    </w:tbl>
    <w:p>
      <w:pPr>
        <w:pStyle w:val="3"/>
        <w:spacing w:before="5"/>
        <w:ind w:left="0"/>
        <w:rPr>
          <w:sz w:val="25"/>
        </w:rPr>
      </w:pPr>
    </w:p>
    <w:p>
      <w:pPr>
        <w:pStyle w:val="3"/>
        <w:spacing w:after="30"/>
        <w:ind w:left="116"/>
        <w:rPr>
          <w:b/>
          <w:bCs/>
          <w:sz w:val="25"/>
          <w:lang w:eastAsia="zh-CN"/>
        </w:rPr>
      </w:pPr>
      <w:r>
        <w:rPr>
          <w:rFonts w:hint="eastAsia" w:asciiTheme="minorEastAsia" w:hAnsiTheme="minorEastAsia" w:eastAsiaTheme="minorEastAsia"/>
          <w:b/>
          <w:bCs/>
          <w:sz w:val="24"/>
          <w:szCs w:val="24"/>
          <w:lang w:eastAsia="zh-CN"/>
        </w:rPr>
        <w:t>三、反应程序</w:t>
      </w:r>
    </w:p>
    <w:tbl>
      <w:tblPr>
        <w:tblStyle w:val="10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61"/>
        <w:gridCol w:w="1997"/>
        <w:gridCol w:w="1998"/>
        <w:gridCol w:w="199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  <w:jc w:val="center"/>
        </w:trPr>
        <w:tc>
          <w:tcPr>
            <w:tcW w:w="2161" w:type="dxa"/>
          </w:tcPr>
          <w:p>
            <w:pPr>
              <w:pStyle w:val="12"/>
              <w:spacing w:before="27"/>
              <w:jc w:val="center"/>
              <w:rPr>
                <w:rFonts w:eastAsia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997" w:type="dxa"/>
            <w:vAlign w:val="top"/>
          </w:tcPr>
          <w:p>
            <w:pPr>
              <w:pStyle w:val="12"/>
              <w:spacing w:before="27"/>
              <w:ind w:left="115" w:leftChars="0"/>
              <w:jc w:val="center"/>
              <w:rPr>
                <w:rFonts w:eastAsia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bCs/>
                <w:sz w:val="21"/>
                <w:szCs w:val="21"/>
                <w:lang w:eastAsia="zh-CN"/>
              </w:rPr>
              <w:t>温度</w:t>
            </w:r>
          </w:p>
        </w:tc>
        <w:tc>
          <w:tcPr>
            <w:tcW w:w="1998" w:type="dxa"/>
            <w:vAlign w:val="top"/>
          </w:tcPr>
          <w:p>
            <w:pPr>
              <w:pStyle w:val="12"/>
              <w:spacing w:before="27"/>
              <w:ind w:left="115" w:leftChars="0"/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21"/>
                <w:szCs w:val="21"/>
                <w:lang w:eastAsia="zh-CN"/>
              </w:rPr>
              <w:t>时间</w:t>
            </w:r>
          </w:p>
        </w:tc>
        <w:tc>
          <w:tcPr>
            <w:tcW w:w="1998" w:type="dxa"/>
            <w:vAlign w:val="top"/>
          </w:tcPr>
          <w:p>
            <w:pPr>
              <w:pStyle w:val="12"/>
              <w:spacing w:before="27"/>
              <w:ind w:left="115" w:leftChars="0"/>
              <w:jc w:val="center"/>
              <w:rPr>
                <w:rFonts w:hint="eastAsia" w:eastAsia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21"/>
                <w:szCs w:val="21"/>
                <w:lang w:val="en-US" w:eastAsia="zh-CN"/>
              </w:rPr>
              <w:t>循环数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  <w:jc w:val="center"/>
        </w:trPr>
        <w:tc>
          <w:tcPr>
            <w:tcW w:w="2161" w:type="dxa"/>
          </w:tcPr>
          <w:p>
            <w:pPr>
              <w:pStyle w:val="12"/>
              <w:spacing w:before="27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逆转录</w:t>
            </w:r>
          </w:p>
        </w:tc>
        <w:tc>
          <w:tcPr>
            <w:tcW w:w="1997" w:type="dxa"/>
            <w:vAlign w:val="top"/>
          </w:tcPr>
          <w:p>
            <w:pPr>
              <w:pStyle w:val="12"/>
              <w:spacing w:before="27"/>
              <w:ind w:left="115" w:leftChars="0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50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ºC</w:t>
            </w:r>
          </w:p>
        </w:tc>
        <w:tc>
          <w:tcPr>
            <w:tcW w:w="1998" w:type="dxa"/>
            <w:vAlign w:val="top"/>
          </w:tcPr>
          <w:p>
            <w:pPr>
              <w:pStyle w:val="12"/>
              <w:spacing w:before="27"/>
              <w:ind w:left="115" w:leftChars="0"/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min</w:t>
            </w:r>
          </w:p>
        </w:tc>
        <w:tc>
          <w:tcPr>
            <w:tcW w:w="1998" w:type="dxa"/>
            <w:vAlign w:val="top"/>
          </w:tcPr>
          <w:p>
            <w:pPr>
              <w:pStyle w:val="12"/>
              <w:spacing w:before="27"/>
              <w:ind w:left="115" w:leftChars="0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  <w:jc w:val="center"/>
        </w:trPr>
        <w:tc>
          <w:tcPr>
            <w:tcW w:w="2161" w:type="dxa"/>
            <w:vAlign w:val="top"/>
          </w:tcPr>
          <w:p>
            <w:pPr>
              <w:pStyle w:val="12"/>
              <w:spacing w:before="27"/>
              <w:ind w:left="115" w:leftChars="0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预变性</w:t>
            </w:r>
          </w:p>
        </w:tc>
        <w:tc>
          <w:tcPr>
            <w:tcW w:w="1997" w:type="dxa"/>
            <w:vAlign w:val="top"/>
          </w:tcPr>
          <w:p>
            <w:pPr>
              <w:pStyle w:val="12"/>
              <w:spacing w:before="27"/>
              <w:ind w:left="115" w:leftChars="0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95ºC</w:t>
            </w:r>
          </w:p>
        </w:tc>
        <w:tc>
          <w:tcPr>
            <w:tcW w:w="1998" w:type="dxa"/>
            <w:vAlign w:val="top"/>
          </w:tcPr>
          <w:p>
            <w:pPr>
              <w:pStyle w:val="12"/>
              <w:spacing w:before="27"/>
              <w:ind w:left="115" w:leftChars="0"/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30sec</w:t>
            </w:r>
          </w:p>
        </w:tc>
        <w:tc>
          <w:tcPr>
            <w:tcW w:w="1998" w:type="dxa"/>
            <w:vAlign w:val="top"/>
          </w:tcPr>
          <w:p>
            <w:pPr>
              <w:pStyle w:val="12"/>
              <w:spacing w:before="27"/>
              <w:ind w:left="115" w:leftChars="0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2161" w:type="dxa"/>
            <w:vMerge w:val="restart"/>
            <w:vAlign w:val="top"/>
          </w:tcPr>
          <w:p>
            <w:pPr>
              <w:pStyle w:val="12"/>
              <w:spacing w:before="27"/>
              <w:ind w:firstLine="630" w:firstLineChars="300"/>
              <w:jc w:val="both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循环反应</w:t>
            </w:r>
          </w:p>
        </w:tc>
        <w:tc>
          <w:tcPr>
            <w:tcW w:w="1997" w:type="dxa"/>
            <w:vAlign w:val="top"/>
          </w:tcPr>
          <w:p>
            <w:pPr>
              <w:pStyle w:val="12"/>
              <w:spacing w:before="27"/>
              <w:ind w:left="115" w:leftChars="0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95ºC</w:t>
            </w:r>
          </w:p>
        </w:tc>
        <w:tc>
          <w:tcPr>
            <w:tcW w:w="1998" w:type="dxa"/>
            <w:vAlign w:val="top"/>
          </w:tcPr>
          <w:p>
            <w:pPr>
              <w:pStyle w:val="12"/>
              <w:spacing w:before="27"/>
              <w:ind w:left="115" w:leftChars="0"/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1</w:t>
            </w: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sec</w:t>
            </w:r>
          </w:p>
        </w:tc>
        <w:tc>
          <w:tcPr>
            <w:tcW w:w="1998" w:type="dxa"/>
            <w:vMerge w:val="restart"/>
            <w:vAlign w:val="top"/>
          </w:tcPr>
          <w:p>
            <w:pPr>
              <w:pStyle w:val="12"/>
              <w:spacing w:before="27"/>
              <w:ind w:left="115" w:leftChars="0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</w:p>
          <w:p>
            <w:pPr>
              <w:pStyle w:val="12"/>
              <w:spacing w:before="27"/>
              <w:ind w:left="115" w:leftChars="0"/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40-45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  <w:jc w:val="center"/>
        </w:trPr>
        <w:tc>
          <w:tcPr>
            <w:tcW w:w="2161" w:type="dxa"/>
            <w:vMerge w:val="continue"/>
            <w:tcBorders/>
            <w:vAlign w:val="top"/>
          </w:tcPr>
          <w:p>
            <w:pPr>
              <w:pStyle w:val="12"/>
              <w:spacing w:before="27"/>
              <w:ind w:left="115" w:leftChars="0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1997" w:type="dxa"/>
            <w:vAlign w:val="top"/>
          </w:tcPr>
          <w:p>
            <w:pPr>
              <w:pStyle w:val="12"/>
              <w:spacing w:before="27"/>
              <w:ind w:left="115" w:leftChars="0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60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ºC</w:t>
            </w:r>
          </w:p>
        </w:tc>
        <w:tc>
          <w:tcPr>
            <w:tcW w:w="1998" w:type="dxa"/>
            <w:vAlign w:val="top"/>
          </w:tcPr>
          <w:p>
            <w:pPr>
              <w:pStyle w:val="12"/>
              <w:spacing w:before="27"/>
              <w:ind w:left="115" w:leftChars="0"/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30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sec</w:t>
            </w:r>
          </w:p>
        </w:tc>
        <w:tc>
          <w:tcPr>
            <w:tcW w:w="1998" w:type="dxa"/>
            <w:vMerge w:val="continue"/>
            <w:tcBorders/>
            <w:vAlign w:val="top"/>
          </w:tcPr>
          <w:p>
            <w:pPr>
              <w:pStyle w:val="12"/>
              <w:spacing w:before="27"/>
              <w:ind w:left="115" w:leftChars="0"/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  <w:jc w:val="center"/>
        </w:trPr>
        <w:tc>
          <w:tcPr>
            <w:tcW w:w="2161" w:type="dxa"/>
            <w:vMerge w:val="restart"/>
            <w:tcBorders/>
            <w:vAlign w:val="top"/>
          </w:tcPr>
          <w:p>
            <w:pPr>
              <w:pStyle w:val="12"/>
              <w:spacing w:before="27"/>
              <w:ind w:left="115" w:leftChars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</w:p>
          <w:p>
            <w:pPr>
              <w:pStyle w:val="12"/>
              <w:spacing w:before="27"/>
              <w:ind w:left="115" w:leftChars="0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溶解曲线</w:t>
            </w:r>
          </w:p>
        </w:tc>
        <w:tc>
          <w:tcPr>
            <w:tcW w:w="1997" w:type="dxa"/>
            <w:vAlign w:val="top"/>
          </w:tcPr>
          <w:p>
            <w:pPr>
              <w:pStyle w:val="12"/>
              <w:spacing w:before="27"/>
              <w:ind w:left="115" w:leftChars="0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95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ºC</w:t>
            </w:r>
          </w:p>
        </w:tc>
        <w:tc>
          <w:tcPr>
            <w:tcW w:w="1998" w:type="dxa"/>
            <w:vAlign w:val="top"/>
          </w:tcPr>
          <w:p>
            <w:pPr>
              <w:pStyle w:val="12"/>
              <w:spacing w:before="27"/>
              <w:ind w:left="115" w:leftChars="0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sec</w:t>
            </w:r>
          </w:p>
        </w:tc>
        <w:tc>
          <w:tcPr>
            <w:tcW w:w="1998" w:type="dxa"/>
            <w:tcBorders/>
            <w:vAlign w:val="top"/>
          </w:tcPr>
          <w:p>
            <w:pPr>
              <w:pStyle w:val="12"/>
              <w:spacing w:before="27"/>
              <w:ind w:left="115" w:leftChars="0"/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  <w:jc w:val="center"/>
        </w:trPr>
        <w:tc>
          <w:tcPr>
            <w:tcW w:w="2161" w:type="dxa"/>
            <w:vMerge w:val="continue"/>
            <w:tcBorders/>
            <w:vAlign w:val="top"/>
          </w:tcPr>
          <w:p>
            <w:pPr>
              <w:pStyle w:val="12"/>
              <w:spacing w:before="27"/>
              <w:ind w:left="115" w:leftChars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1997" w:type="dxa"/>
            <w:vAlign w:val="top"/>
          </w:tcPr>
          <w:p>
            <w:pPr>
              <w:pStyle w:val="12"/>
              <w:spacing w:before="27"/>
              <w:ind w:left="115" w:leftChars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5ºC</w:t>
            </w:r>
          </w:p>
        </w:tc>
        <w:tc>
          <w:tcPr>
            <w:tcW w:w="1998" w:type="dxa"/>
            <w:vAlign w:val="top"/>
          </w:tcPr>
          <w:p>
            <w:pPr>
              <w:pStyle w:val="12"/>
              <w:spacing w:before="27"/>
              <w:ind w:left="115" w:leftChars="0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1min</w:t>
            </w:r>
          </w:p>
        </w:tc>
        <w:tc>
          <w:tcPr>
            <w:tcW w:w="1998" w:type="dxa"/>
            <w:tcBorders/>
            <w:vAlign w:val="top"/>
          </w:tcPr>
          <w:p>
            <w:pPr>
              <w:pStyle w:val="12"/>
              <w:spacing w:before="27"/>
              <w:ind w:left="115" w:leftChars="0"/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  <w:jc w:val="center"/>
        </w:trPr>
        <w:tc>
          <w:tcPr>
            <w:tcW w:w="2161" w:type="dxa"/>
            <w:vMerge w:val="continue"/>
            <w:tcBorders/>
            <w:vAlign w:val="top"/>
          </w:tcPr>
          <w:p>
            <w:pPr>
              <w:pStyle w:val="12"/>
              <w:spacing w:before="27"/>
              <w:ind w:left="115" w:leftChars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1997" w:type="dxa"/>
            <w:vAlign w:val="top"/>
          </w:tcPr>
          <w:p>
            <w:pPr>
              <w:pStyle w:val="12"/>
              <w:spacing w:before="27"/>
              <w:ind w:left="115" w:leftChars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9</w:t>
            </w: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ºC</w:t>
            </w:r>
          </w:p>
        </w:tc>
        <w:tc>
          <w:tcPr>
            <w:tcW w:w="1998" w:type="dxa"/>
            <w:vAlign w:val="top"/>
          </w:tcPr>
          <w:p>
            <w:pPr>
              <w:pStyle w:val="12"/>
              <w:spacing w:before="27"/>
              <w:ind w:left="115" w:leftChars="0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1998" w:type="dxa"/>
            <w:tcBorders/>
            <w:vAlign w:val="top"/>
          </w:tcPr>
          <w:p>
            <w:pPr>
              <w:pStyle w:val="12"/>
              <w:spacing w:before="27"/>
              <w:ind w:left="115" w:leftChars="0"/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1</w:t>
            </w:r>
          </w:p>
        </w:tc>
      </w:tr>
    </w:tbl>
    <w:p>
      <w:pPr>
        <w:pStyle w:val="3"/>
        <w:spacing w:before="5"/>
        <w:ind w:left="0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5"/>
          <w:lang w:val="en-US" w:eastAsia="zh-CN"/>
        </w:rPr>
        <w:t xml:space="preserve">     </w:t>
      </w:r>
      <w:r>
        <w:rPr>
          <w:rFonts w:hint="eastAsia"/>
          <w:sz w:val="21"/>
          <w:szCs w:val="21"/>
          <w:lang w:val="en-US" w:eastAsia="zh-CN"/>
        </w:rPr>
        <w:t>对于有复杂结构的模板，可以将逆转录温度提高到55ºC，</w:t>
      </w:r>
      <w:r>
        <w:rPr>
          <w:rFonts w:hint="eastAsia"/>
          <w:sz w:val="21"/>
          <w:szCs w:val="21"/>
          <w:lang w:val="en-US" w:eastAsia="zh-CN"/>
        </w:rPr>
        <w:t>有助于提高扩增效率；</w:t>
      </w:r>
    </w:p>
    <w:p>
      <w:pPr>
        <w:pStyle w:val="3"/>
        <w:spacing w:before="5"/>
        <w:ind w:left="0" w:firstLine="630" w:firstLineChars="300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延伸时间请根据使用仪器所需要的数据采集最短时间进行调整；</w:t>
      </w:r>
    </w:p>
    <w:p>
      <w:pPr>
        <w:pStyle w:val="3"/>
        <w:spacing w:before="5"/>
        <w:ind w:left="0" w:firstLine="630" w:firstLineChars="300"/>
        <w:rPr>
          <w:rFonts w:hint="default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溶解曲线的设定，根据仪器的默认采集程序</w:t>
      </w:r>
      <w:bookmarkStart w:id="2" w:name="_GoBack"/>
      <w:bookmarkEnd w:id="2"/>
      <w:r>
        <w:rPr>
          <w:rFonts w:hint="eastAsia"/>
          <w:sz w:val="21"/>
          <w:szCs w:val="21"/>
          <w:lang w:val="en-US" w:eastAsia="zh-CN"/>
        </w:rPr>
        <w:t>设定即可。</w:t>
      </w:r>
    </w:p>
    <w:p>
      <w:pPr>
        <w:pStyle w:val="2"/>
        <w:ind w:left="0"/>
        <w:rPr>
          <w:rFonts w:asciiTheme="minorEastAsia" w:hAnsiTheme="minorEastAsia" w:eastAsiaTheme="minorEastAsia"/>
          <w:u w:val="none"/>
        </w:rPr>
      </w:pPr>
    </w:p>
    <w:p>
      <w:pPr>
        <w:pStyle w:val="2"/>
        <w:ind w:left="0"/>
        <w:rPr>
          <w:rFonts w:asciiTheme="minorEastAsia" w:hAnsiTheme="minorEastAsia" w:eastAsiaTheme="minorEastAsia"/>
          <w:u w:val="none"/>
        </w:rPr>
      </w:pPr>
      <w:r>
        <w:rPr>
          <w:rFonts w:asciiTheme="minorEastAsia" w:hAnsiTheme="minorEastAsia" w:eastAsiaTheme="minorEastAsia"/>
          <w:u w:val="none"/>
        </w:rPr>
        <w:t>注意事项</w:t>
      </w:r>
    </w:p>
    <w:p>
      <w:pPr>
        <w:tabs>
          <w:tab w:val="left" w:pos="1063"/>
        </w:tabs>
        <w:spacing w:before="44" w:line="278" w:lineRule="auto"/>
        <w:ind w:right="173" w:firstLine="408" w:firstLineChars="200"/>
        <w:rPr>
          <w:rFonts w:asciiTheme="minorEastAsia" w:hAnsiTheme="minorEastAsia" w:eastAsia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/>
          <w:spacing w:val="-3"/>
          <w:sz w:val="21"/>
          <w:szCs w:val="21"/>
          <w:lang w:eastAsia="zh-CN"/>
        </w:rPr>
        <w:t>（1）</w:t>
      </w:r>
      <w:r>
        <w:rPr>
          <w:rFonts w:asciiTheme="minorEastAsia" w:hAnsiTheme="minorEastAsia" w:eastAsiaTheme="minorEastAsia"/>
          <w:spacing w:val="-3"/>
          <w:sz w:val="21"/>
          <w:szCs w:val="21"/>
          <w:lang w:eastAsia="zh-CN"/>
        </w:rPr>
        <w:t>在进行大量样品检测时，可将本试剂盒的试剂预分装到</w:t>
      </w:r>
      <w:r>
        <w:rPr>
          <w:rFonts w:asciiTheme="minorEastAsia" w:hAnsiTheme="minorEastAsia" w:eastAsiaTheme="minorEastAsia"/>
          <w:sz w:val="21"/>
          <w:szCs w:val="21"/>
          <w:lang w:eastAsia="zh-CN"/>
        </w:rPr>
        <w:t>8</w:t>
      </w:r>
      <w:r>
        <w:rPr>
          <w:rFonts w:asciiTheme="minorEastAsia" w:hAnsiTheme="minorEastAsia" w:eastAsiaTheme="minorEastAsia"/>
          <w:spacing w:val="-33"/>
          <w:sz w:val="21"/>
          <w:szCs w:val="21"/>
          <w:lang w:eastAsia="zh-CN"/>
        </w:rPr>
        <w:t xml:space="preserve">联 </w:t>
      </w:r>
      <w:r>
        <w:rPr>
          <w:rFonts w:asciiTheme="minorEastAsia" w:hAnsiTheme="minorEastAsia" w:eastAsiaTheme="minorEastAsia"/>
          <w:sz w:val="21"/>
          <w:szCs w:val="21"/>
          <w:lang w:eastAsia="zh-CN"/>
        </w:rPr>
        <w:t>PCR管，用多通道移液器进行多样本的处理。</w:t>
      </w:r>
    </w:p>
    <w:p>
      <w:pPr>
        <w:tabs>
          <w:tab w:val="left" w:pos="1063"/>
        </w:tabs>
        <w:ind w:firstLine="420" w:firstLineChars="200"/>
        <w:rPr>
          <w:rFonts w:asciiTheme="minorEastAsia" w:hAnsiTheme="minorEastAsia" w:eastAsia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/>
          <w:sz w:val="21"/>
          <w:szCs w:val="21"/>
          <w:lang w:eastAsia="zh-CN"/>
        </w:rPr>
        <w:t>（2）</w:t>
      </w:r>
      <w:r>
        <w:rPr>
          <w:rFonts w:asciiTheme="minorEastAsia" w:hAnsiTheme="minorEastAsia" w:eastAsiaTheme="minorEastAsia"/>
          <w:sz w:val="21"/>
          <w:szCs w:val="21"/>
          <w:lang w:eastAsia="zh-CN"/>
        </w:rPr>
        <w:t>取样的细胞量应当适中，浓度不宜过高或过低，处理后溶液应当以透明为宜。扩增病毒基因时需要根据病毒的滴度决定取样的细胞数量。</w:t>
      </w:r>
    </w:p>
    <w:p>
      <w:pPr>
        <w:tabs>
          <w:tab w:val="left" w:pos="1063"/>
        </w:tabs>
        <w:spacing w:before="44"/>
        <w:ind w:firstLine="543" w:firstLineChars="300"/>
        <w:rPr>
          <w:rFonts w:asciiTheme="minorEastAsia" w:hAnsiTheme="minorEastAsia" w:eastAsia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/>
          <w:spacing w:val="-9"/>
          <w:w w:val="95"/>
          <w:sz w:val="21"/>
          <w:szCs w:val="21"/>
          <w:lang w:eastAsia="zh-CN"/>
        </w:rPr>
        <w:t>（3）</w:t>
      </w:r>
      <w:r>
        <w:rPr>
          <w:rFonts w:asciiTheme="minorEastAsia" w:hAnsiTheme="minorEastAsia" w:eastAsiaTheme="minorEastAsia"/>
          <w:spacing w:val="-9"/>
          <w:w w:val="95"/>
          <w:sz w:val="21"/>
          <w:szCs w:val="21"/>
          <w:lang w:eastAsia="zh-CN"/>
        </w:rPr>
        <w:t>样品处理过程中应当防止交叉污染，推荐设置阴性样品参与处理过程，以检测环境的污染。</w:t>
      </w:r>
    </w:p>
    <w:p>
      <w:pPr>
        <w:tabs>
          <w:tab w:val="left" w:pos="1063"/>
        </w:tabs>
        <w:ind w:firstLine="430" w:firstLineChars="200"/>
        <w:rPr>
          <w:rFonts w:asciiTheme="minorEastAsia" w:hAnsiTheme="minorEastAsia" w:eastAsia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/>
          <w:spacing w:val="4"/>
          <w:w w:val="99"/>
          <w:sz w:val="21"/>
          <w:szCs w:val="21"/>
          <w:lang w:eastAsia="zh-CN"/>
        </w:rPr>
        <w:t>（4）</w:t>
      </w:r>
      <w:r>
        <w:rPr>
          <w:rFonts w:asciiTheme="minorEastAsia" w:hAnsiTheme="minorEastAsia" w:eastAsiaTheme="minorEastAsia"/>
          <w:spacing w:val="4"/>
          <w:w w:val="99"/>
          <w:sz w:val="21"/>
          <w:szCs w:val="21"/>
          <w:lang w:eastAsia="zh-CN"/>
        </w:rPr>
        <w:t>P</w:t>
      </w:r>
      <w:r>
        <w:rPr>
          <w:rFonts w:asciiTheme="minorEastAsia" w:hAnsiTheme="minorEastAsia" w:eastAsiaTheme="minorEastAsia"/>
          <w:spacing w:val="5"/>
          <w:w w:val="99"/>
          <w:sz w:val="21"/>
          <w:szCs w:val="21"/>
          <w:lang w:eastAsia="zh-CN"/>
        </w:rPr>
        <w:t>C</w:t>
      </w:r>
      <w:r>
        <w:rPr>
          <w:rFonts w:asciiTheme="minorEastAsia" w:hAnsiTheme="minorEastAsia" w:eastAsiaTheme="minorEastAsia"/>
          <w:w w:val="99"/>
          <w:sz w:val="21"/>
          <w:szCs w:val="21"/>
          <w:lang w:eastAsia="zh-CN"/>
        </w:rPr>
        <w:t>R</w:t>
      </w:r>
      <w:r>
        <w:rPr>
          <w:rFonts w:asciiTheme="minorEastAsia" w:hAnsiTheme="minorEastAsia" w:eastAsiaTheme="minorEastAsia"/>
          <w:spacing w:val="2"/>
          <w:w w:val="99"/>
          <w:sz w:val="21"/>
          <w:szCs w:val="21"/>
          <w:lang w:eastAsia="zh-CN"/>
        </w:rPr>
        <w:t>的退火温度可根据引物的预测</w:t>
      </w:r>
      <w:r>
        <w:rPr>
          <w:rFonts w:asciiTheme="minorEastAsia" w:hAnsiTheme="minorEastAsia" w:eastAsiaTheme="minorEastAsia"/>
          <w:spacing w:val="8"/>
          <w:w w:val="99"/>
          <w:sz w:val="21"/>
          <w:szCs w:val="21"/>
          <w:lang w:eastAsia="zh-CN"/>
        </w:rPr>
        <w:t>T</w:t>
      </w:r>
      <w:r>
        <w:rPr>
          <w:rFonts w:asciiTheme="minorEastAsia" w:hAnsiTheme="minorEastAsia" w:eastAsiaTheme="minorEastAsia"/>
          <w:w w:val="99"/>
          <w:sz w:val="21"/>
          <w:szCs w:val="21"/>
          <w:lang w:eastAsia="zh-CN"/>
        </w:rPr>
        <w:t>m</w:t>
      </w:r>
      <w:r>
        <w:rPr>
          <w:rFonts w:asciiTheme="minorEastAsia" w:hAnsiTheme="minorEastAsia" w:eastAsiaTheme="minorEastAsia"/>
          <w:spacing w:val="2"/>
          <w:w w:val="99"/>
          <w:sz w:val="21"/>
          <w:szCs w:val="21"/>
          <w:lang w:eastAsia="zh-CN"/>
        </w:rPr>
        <w:t>值减去</w:t>
      </w:r>
      <w:r>
        <w:rPr>
          <w:rFonts w:asciiTheme="minorEastAsia" w:hAnsiTheme="minorEastAsia" w:eastAsiaTheme="minorEastAsia"/>
          <w:w w:val="99"/>
          <w:sz w:val="21"/>
          <w:szCs w:val="21"/>
          <w:lang w:eastAsia="zh-CN"/>
        </w:rPr>
        <w:t>5</w:t>
      </w:r>
      <w:r>
        <w:rPr>
          <w:rFonts w:asciiTheme="minorEastAsia" w:hAnsiTheme="minorEastAsia" w:eastAsiaTheme="minorEastAsia"/>
          <w:spacing w:val="-9"/>
          <w:w w:val="99"/>
          <w:sz w:val="21"/>
          <w:szCs w:val="21"/>
          <w:lang w:eastAsia="zh-CN"/>
        </w:rPr>
        <w:t>℃，或者通过梯度</w:t>
      </w:r>
      <w:r>
        <w:rPr>
          <w:rFonts w:asciiTheme="minorEastAsia" w:hAnsiTheme="minorEastAsia" w:eastAsiaTheme="minorEastAsia"/>
          <w:spacing w:val="4"/>
          <w:w w:val="99"/>
          <w:sz w:val="21"/>
          <w:szCs w:val="21"/>
          <w:lang w:eastAsia="zh-CN"/>
        </w:rPr>
        <w:t>P</w:t>
      </w:r>
      <w:r>
        <w:rPr>
          <w:rFonts w:asciiTheme="minorEastAsia" w:hAnsiTheme="minorEastAsia" w:eastAsiaTheme="minorEastAsia"/>
          <w:spacing w:val="5"/>
          <w:w w:val="99"/>
          <w:sz w:val="21"/>
          <w:szCs w:val="21"/>
          <w:lang w:eastAsia="zh-CN"/>
        </w:rPr>
        <w:t>C</w:t>
      </w:r>
      <w:r>
        <w:rPr>
          <w:rFonts w:asciiTheme="minorEastAsia" w:hAnsiTheme="minorEastAsia" w:eastAsiaTheme="minorEastAsia"/>
          <w:w w:val="99"/>
          <w:sz w:val="21"/>
          <w:szCs w:val="21"/>
          <w:lang w:eastAsia="zh-CN"/>
        </w:rPr>
        <w:t>R摸索最佳退火温度。</w:t>
      </w:r>
    </w:p>
    <w:p>
      <w:pPr>
        <w:tabs>
          <w:tab w:val="left" w:pos="1063"/>
        </w:tabs>
        <w:ind w:firstLine="420" w:firstLineChars="200"/>
        <w:rPr>
          <w:rFonts w:asciiTheme="minorEastAsia" w:hAnsiTheme="minorEastAsia" w:eastAsia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/>
          <w:sz w:val="21"/>
          <w:szCs w:val="21"/>
          <w:lang w:eastAsia="zh-CN"/>
        </w:rPr>
        <w:t>（5）</w:t>
      </w:r>
      <w:r>
        <w:rPr>
          <w:rFonts w:asciiTheme="minorEastAsia" w:hAnsiTheme="minorEastAsia" w:eastAsiaTheme="minorEastAsia"/>
          <w:sz w:val="21"/>
          <w:szCs w:val="21"/>
          <w:lang w:eastAsia="zh-CN"/>
        </w:rPr>
        <w:t>用本试剂盒处理的样品可于-20</w:t>
      </w:r>
      <w:r>
        <w:rPr>
          <w:rFonts w:asciiTheme="minorEastAsia" w:hAnsiTheme="minorEastAsia" w:eastAsiaTheme="minorEastAsia"/>
          <w:spacing w:val="-13"/>
          <w:sz w:val="21"/>
          <w:szCs w:val="21"/>
          <w:lang w:eastAsia="zh-CN"/>
        </w:rPr>
        <w:t xml:space="preserve">℃保存 </w:t>
      </w:r>
      <w:r>
        <w:rPr>
          <w:rFonts w:asciiTheme="minorEastAsia" w:hAnsiTheme="minorEastAsia" w:eastAsiaTheme="minorEastAsia"/>
          <w:sz w:val="21"/>
          <w:szCs w:val="21"/>
          <w:lang w:eastAsia="zh-CN"/>
        </w:rPr>
        <w:t>1个月。</w:t>
      </w:r>
    </w:p>
    <w:p>
      <w:pPr>
        <w:tabs>
          <w:tab w:val="left" w:pos="1063"/>
        </w:tabs>
        <w:ind w:firstLine="420" w:firstLineChars="200"/>
        <w:rPr>
          <w:rFonts w:asciiTheme="minorEastAsia" w:hAnsiTheme="minorEastAsia" w:eastAsia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/>
          <w:sz w:val="21"/>
          <w:szCs w:val="21"/>
          <w:lang w:eastAsia="zh-CN"/>
        </w:rPr>
        <w:t>（6）</w:t>
      </w:r>
      <w:r>
        <w:rPr>
          <w:rFonts w:asciiTheme="minorEastAsia" w:hAnsiTheme="minorEastAsia" w:eastAsiaTheme="minorEastAsia"/>
          <w:sz w:val="21"/>
          <w:szCs w:val="21"/>
          <w:lang w:eastAsia="zh-CN"/>
        </w:rPr>
        <w:t>为防止试剂盒污染，请勿将不同批号试剂盒混用。</w:t>
      </w:r>
    </w:p>
    <w:p>
      <w:pPr>
        <w:pStyle w:val="7"/>
        <w:ind w:left="0" w:leftChars="0" w:firstLine="0" w:firstLineChars="0"/>
        <w:jc w:val="both"/>
        <w:rPr>
          <w:rFonts w:hint="default" w:ascii="华文中宋" w:hAnsi="华文中宋" w:eastAsia="华文中宋"/>
          <w:sz w:val="72"/>
          <w:szCs w:val="72"/>
          <w:lang w:val="en-US" w:eastAsia="zh-CN"/>
        </w:rPr>
      </w:pPr>
    </w:p>
    <w:sectPr>
      <w:footerReference r:id="rId3" w:type="default"/>
      <w:pgSz w:w="11910" w:h="16840"/>
      <w:pgMar w:top="1100" w:right="1300" w:bottom="1520" w:left="1300" w:header="0" w:footer="13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ind w:left="0"/>
      <w:rPr>
        <w:sz w:val="20"/>
      </w:rPr>
    </w:pPr>
    <w:r>
      <w:rPr>
        <w:lang w:eastAsia="zh-CN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884555</wp:posOffset>
              </wp:positionH>
              <wp:positionV relativeFrom="page">
                <wp:posOffset>9676765</wp:posOffset>
              </wp:positionV>
              <wp:extent cx="5795010" cy="35560"/>
              <wp:effectExtent l="0" t="0" r="0" b="2540"/>
              <wp:wrapNone/>
              <wp:docPr id="1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5010" cy="3556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4" o:spid="_x0000_s1026" o:spt="1" style="position:absolute;left:0pt;margin-left:69.65pt;margin-top:761.95pt;height:2.8pt;width:456.3pt;mso-position-horizontal-relative:page;mso-position-vertical-relative:page;z-index:-251657216;mso-width-relative:page;mso-height-relative:page;" fillcolor="#000000 [3213]" filled="t" stroked="f" coordsize="21600,21600" o:gfxdata="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uVrCX2gAAAA4BAAAPAAAAAAAA&#10;AAEAIAAAACIAAABkcnMvZG93bnJldi54bWxQSwECFAAUAAAACACHTuJAzX3VcBACAAAoBAAADgAA&#10;AAAAAAABACAAAAApAQAAZHJzL2Uyb0RvYy54bWxQSwUGAAAAAAYABgBZAQAAqwUAAAAA&#10;">
              <v:fill on="t" focussize="0,0"/>
              <v:stroke on="f"/>
              <v:imagedata o:title=""/>
              <o:lock v:ext="edit" aspectratio="f"/>
            </v:rect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EC5B27"/>
    <w:multiLevelType w:val="multilevel"/>
    <w:tmpl w:val="0DEC5B27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BmZWU4MTYwNTBiMDZjZDgzNDIxNjNkYTkzMmQ4ZGMifQ=="/>
  </w:docVars>
  <w:rsids>
    <w:rsidRoot w:val="00B11C04"/>
    <w:rsid w:val="00015AD1"/>
    <w:rsid w:val="00017BE9"/>
    <w:rsid w:val="00055DA6"/>
    <w:rsid w:val="001525C9"/>
    <w:rsid w:val="001D29E2"/>
    <w:rsid w:val="002030D3"/>
    <w:rsid w:val="0021179A"/>
    <w:rsid w:val="004210F2"/>
    <w:rsid w:val="00435422"/>
    <w:rsid w:val="00472877"/>
    <w:rsid w:val="004A219C"/>
    <w:rsid w:val="004B77B6"/>
    <w:rsid w:val="00510853"/>
    <w:rsid w:val="005B3619"/>
    <w:rsid w:val="005B7AEE"/>
    <w:rsid w:val="005D33D3"/>
    <w:rsid w:val="006151D3"/>
    <w:rsid w:val="00617253"/>
    <w:rsid w:val="00623B0A"/>
    <w:rsid w:val="006418DC"/>
    <w:rsid w:val="00650559"/>
    <w:rsid w:val="00666673"/>
    <w:rsid w:val="007573CA"/>
    <w:rsid w:val="00782720"/>
    <w:rsid w:val="007F133B"/>
    <w:rsid w:val="00802E06"/>
    <w:rsid w:val="00872321"/>
    <w:rsid w:val="008D06A9"/>
    <w:rsid w:val="008F1562"/>
    <w:rsid w:val="00913DE9"/>
    <w:rsid w:val="0096342A"/>
    <w:rsid w:val="009E720E"/>
    <w:rsid w:val="00A65B06"/>
    <w:rsid w:val="00A70CC5"/>
    <w:rsid w:val="00A91642"/>
    <w:rsid w:val="00B11C04"/>
    <w:rsid w:val="00BB1B7E"/>
    <w:rsid w:val="00BB7DBA"/>
    <w:rsid w:val="00BC6201"/>
    <w:rsid w:val="00C12AD4"/>
    <w:rsid w:val="00C3502A"/>
    <w:rsid w:val="00D11D30"/>
    <w:rsid w:val="00D31A8C"/>
    <w:rsid w:val="00D36F32"/>
    <w:rsid w:val="00D50982"/>
    <w:rsid w:val="00D67BA7"/>
    <w:rsid w:val="00DE5A80"/>
    <w:rsid w:val="00E40B7A"/>
    <w:rsid w:val="00E85120"/>
    <w:rsid w:val="00EA0A84"/>
    <w:rsid w:val="00EE558A"/>
    <w:rsid w:val="00F04CA1"/>
    <w:rsid w:val="00F414AD"/>
    <w:rsid w:val="00F547AA"/>
    <w:rsid w:val="00F927FA"/>
    <w:rsid w:val="04D93149"/>
    <w:rsid w:val="04F1234B"/>
    <w:rsid w:val="08AB6E76"/>
    <w:rsid w:val="0F0B4663"/>
    <w:rsid w:val="10FB68F8"/>
    <w:rsid w:val="14761E85"/>
    <w:rsid w:val="14CB3DD9"/>
    <w:rsid w:val="17A10711"/>
    <w:rsid w:val="1A4672EE"/>
    <w:rsid w:val="1BA233B0"/>
    <w:rsid w:val="2334261C"/>
    <w:rsid w:val="240F1AB2"/>
    <w:rsid w:val="26C046FC"/>
    <w:rsid w:val="27132AA7"/>
    <w:rsid w:val="2CF31ECE"/>
    <w:rsid w:val="2EF34209"/>
    <w:rsid w:val="310A6E13"/>
    <w:rsid w:val="327D7D7B"/>
    <w:rsid w:val="37612161"/>
    <w:rsid w:val="3B07678B"/>
    <w:rsid w:val="3DCB6A75"/>
    <w:rsid w:val="3F430A47"/>
    <w:rsid w:val="46CE293D"/>
    <w:rsid w:val="490D48D1"/>
    <w:rsid w:val="49FE1F7F"/>
    <w:rsid w:val="4BAF2F80"/>
    <w:rsid w:val="4C063247"/>
    <w:rsid w:val="4FBC57E4"/>
    <w:rsid w:val="51AA6D19"/>
    <w:rsid w:val="527172F8"/>
    <w:rsid w:val="52B75D6D"/>
    <w:rsid w:val="56F8306B"/>
    <w:rsid w:val="58EA4153"/>
    <w:rsid w:val="5B48040C"/>
    <w:rsid w:val="5B765C1B"/>
    <w:rsid w:val="5BB9615C"/>
    <w:rsid w:val="5C5C3B4F"/>
    <w:rsid w:val="672D5212"/>
    <w:rsid w:val="68387E4A"/>
    <w:rsid w:val="6B573F32"/>
    <w:rsid w:val="72BA48B3"/>
    <w:rsid w:val="75B27696"/>
    <w:rsid w:val="787D7AAA"/>
    <w:rsid w:val="7BB1477B"/>
    <w:rsid w:val="7DB969E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9"/>
    <w:pPr>
      <w:ind w:left="116"/>
      <w:outlineLvl w:val="0"/>
    </w:pPr>
    <w:rPr>
      <w:b/>
      <w:bCs/>
      <w:sz w:val="21"/>
      <w:szCs w:val="21"/>
      <w:u w:val="single" w:color="000000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1062"/>
    </w:pPr>
    <w:rPr>
      <w:sz w:val="21"/>
      <w:szCs w:val="21"/>
    </w:r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itle"/>
    <w:basedOn w:val="1"/>
    <w:qFormat/>
    <w:uiPriority w:val="10"/>
    <w:pPr>
      <w:spacing w:before="41"/>
      <w:ind w:left="116"/>
    </w:pPr>
    <w:rPr>
      <w:b/>
      <w:bCs/>
      <w:sz w:val="32"/>
      <w:szCs w:val="32"/>
    </w:rPr>
  </w:style>
  <w:style w:type="table" w:customStyle="1" w:styleId="10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qFormat/>
    <w:uiPriority w:val="1"/>
    <w:pPr>
      <w:spacing w:before="43"/>
      <w:ind w:left="1062" w:hanging="523"/>
    </w:pPr>
  </w:style>
  <w:style w:type="paragraph" w:customStyle="1" w:styleId="12">
    <w:name w:val="Table Paragraph"/>
    <w:basedOn w:val="1"/>
    <w:qFormat/>
    <w:uiPriority w:val="1"/>
    <w:pPr>
      <w:spacing w:before="51"/>
      <w:ind w:left="115"/>
    </w:pPr>
    <w:rPr>
      <w:rFonts w:ascii="Times New Roman" w:hAnsi="Times New Roman" w:eastAsia="Times New Roman" w:cs="Times New Roman"/>
    </w:rPr>
  </w:style>
  <w:style w:type="character" w:customStyle="1" w:styleId="13">
    <w:name w:val="页眉 字符"/>
    <w:basedOn w:val="9"/>
    <w:link w:val="6"/>
    <w:qFormat/>
    <w:uiPriority w:val="99"/>
    <w:rPr>
      <w:rFonts w:ascii="宋体" w:hAnsi="宋体" w:eastAsia="宋体" w:cs="宋体"/>
      <w:sz w:val="18"/>
      <w:szCs w:val="18"/>
    </w:rPr>
  </w:style>
  <w:style w:type="character" w:customStyle="1" w:styleId="14">
    <w:name w:val="页脚 字符"/>
    <w:basedOn w:val="9"/>
    <w:link w:val="5"/>
    <w:qFormat/>
    <w:uiPriority w:val="99"/>
    <w:rPr>
      <w:rFonts w:ascii="宋体" w:hAnsi="宋体" w:eastAsia="宋体" w:cs="宋体"/>
      <w:sz w:val="18"/>
      <w:szCs w:val="18"/>
    </w:rPr>
  </w:style>
  <w:style w:type="character" w:customStyle="1" w:styleId="15">
    <w:name w:val="批注框文本 字符"/>
    <w:basedOn w:val="9"/>
    <w:link w:val="4"/>
    <w:semiHidden/>
    <w:qFormat/>
    <w:uiPriority w:val="99"/>
    <w:rPr>
      <w:rFonts w:ascii="宋体" w:hAnsi="宋体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774</Words>
  <Characters>1081</Characters>
  <Lines>12</Lines>
  <Paragraphs>3</Paragraphs>
  <TotalTime>3</TotalTime>
  <ScaleCrop>false</ScaleCrop>
  <LinksUpToDate>false</LinksUpToDate>
  <CharactersWithSpaces>1163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2021-08-04T06:33:00Z</dcterms:created>
  <dc:creator>AutoBVT</dc:creator>
  <cp:lastModifiedBy>寒冰雪</cp:lastModifiedBy>
  <cp:lastPrinted>2021-12-15T01:24:00Z</cp:lastPrinted>
  <dcterms:modified xsi:type="dcterms:W3CDTF">2023-02-14T07:25:53Z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2020-11-10T00:00:00Z</vt:filetime>
  </property>
  <property fmtid="{D5CDD505-2E9C-101B-9397-08002B2CF9AE}" pid="5" name="KSOProductBuildVer">
    <vt:lpwstr>2052-11.1.0.13703</vt:lpwstr>
  </property>
  <property fmtid="{D5CDD505-2E9C-101B-9397-08002B2CF9AE}" pid="6" name="ICV">
    <vt:lpwstr>DA52D21F17514C3BB7148697D447493A</vt:lpwstr>
  </property>
</Properties>
</file>