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jc w:val="both"/>
        <w:rPr>
          <w:rFonts w:hint="default" w:ascii="华文中宋" w:hAnsi="华文中宋" w:eastAsia="华文中宋"/>
          <w:b w:val="0"/>
          <w:w w:val="95"/>
          <w:lang w:val="en-US" w:eastAsia="zh-CN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快速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病毒R</w:t>
      </w:r>
      <w:r>
        <w:rPr>
          <w:rFonts w:ascii="华文中宋" w:hAnsi="华文中宋" w:eastAsia="华文中宋"/>
          <w:sz w:val="44"/>
          <w:szCs w:val="44"/>
          <w:lang w:eastAsia="zh-CN"/>
        </w:rPr>
        <w:t>NA免核酸提取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荧光PCR检测</w:t>
      </w:r>
      <w:r>
        <w:rPr>
          <w:rFonts w:ascii="华文中宋" w:hAnsi="华文中宋" w:eastAsia="华文中宋"/>
          <w:sz w:val="44"/>
          <w:szCs w:val="44"/>
          <w:lang w:eastAsia="zh-CN"/>
        </w:rPr>
        <w:t>试剂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盒</w:t>
      </w:r>
    </w:p>
    <w:p>
      <w:pPr>
        <w:pStyle w:val="3"/>
        <w:spacing w:before="83" w:line="321" w:lineRule="auto"/>
        <w:ind w:left="116" w:right="162" w:firstLine="398" w:firstLineChars="200"/>
        <w:jc w:val="both"/>
        <w:rPr>
          <w:w w:val="95"/>
          <w:lang w:eastAsia="zh-CN"/>
        </w:rPr>
      </w:pPr>
    </w:p>
    <w:p>
      <w:pPr>
        <w:spacing w:line="276" w:lineRule="auto"/>
        <w:jc w:val="left"/>
        <w:rPr>
          <w:rFonts w:hint="eastAsia" w:asciiTheme="minorEastAsia" w:hAnsiTheme="minorEastAsia" w:eastAsiaTheme="minorEastAsia"/>
          <w:w w:val="9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w w:val="95"/>
          <w:sz w:val="24"/>
          <w:szCs w:val="24"/>
          <w:lang w:eastAsia="zh-CN"/>
        </w:rPr>
        <w:t>试剂盒简介：</w:t>
      </w:r>
      <w:r>
        <w:rPr>
          <w:rFonts w:asciiTheme="minorEastAsia" w:hAnsiTheme="minorEastAsia" w:eastAsiaTheme="minorEastAsia"/>
          <w:w w:val="95"/>
          <w:sz w:val="24"/>
          <w:szCs w:val="24"/>
          <w:lang w:eastAsia="zh-CN"/>
        </w:rPr>
        <w:t>本试剂盒中采用独特配方，能够快速高效的裂解各种常见样本，</w:t>
      </w:r>
      <w:r>
        <w:rPr>
          <w:rFonts w:hint="eastAsia" w:asciiTheme="minorEastAsia" w:hAnsiTheme="minorEastAsia" w:eastAsiaTheme="minorEastAsia"/>
          <w:w w:val="95"/>
          <w:sz w:val="24"/>
          <w:szCs w:val="24"/>
          <w:lang w:eastAsia="zh-CN"/>
        </w:rPr>
        <w:t>无需重复离心便可获得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高质量的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病毒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R</w:t>
      </w:r>
      <w: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  <w:t>NA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适用于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TaqMan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等荧光标记探针的高特异性检测。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本产品可用于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细胞培养液、血液、血清中病毒</w:t>
      </w:r>
      <w:r>
        <w:rPr>
          <w:rFonts w:hint="eastAsia" w:asciiTheme="minorEastAsia" w:hAnsiTheme="minorEastAsia" w:eastAsiaTheme="minorEastAsia"/>
          <w:w w:val="95"/>
          <w:sz w:val="24"/>
          <w:szCs w:val="24"/>
          <w:lang w:val="en-US" w:eastAsia="zh-CN"/>
        </w:rPr>
        <w:t>R</w:t>
      </w:r>
      <w:r>
        <w:rPr>
          <w:rFonts w:asciiTheme="minorEastAsia" w:hAnsiTheme="minorEastAsia" w:eastAsiaTheme="minorEastAsia"/>
          <w:w w:val="95"/>
          <w:sz w:val="24"/>
          <w:szCs w:val="24"/>
          <w:lang w:eastAsia="zh-CN"/>
        </w:rPr>
        <w:t>NA的提取。</w:t>
      </w:r>
      <w:r>
        <w:rPr>
          <w:rFonts w:hint="eastAsia" w:ascii="Times New Roman" w:hAnsi="Times New Roman" w:cs="Times New Roman"/>
          <w:sz w:val="21"/>
          <w:lang w:val="en-US" w:eastAsia="zh-CN"/>
        </w:rPr>
        <w:t>5</w:t>
      </w:r>
      <w:r>
        <w:rPr>
          <w:rFonts w:hint="default" w:ascii="Times New Roman" w:hAnsi="Times New Roman" w:cs="Times New Roman"/>
          <w:sz w:val="21"/>
        </w:rPr>
        <w:t>×</w:t>
      </w:r>
      <w:r>
        <w:rPr>
          <w:rFonts w:hint="default" w:ascii="Times New Roman" w:hAnsi="Times New Roman" w:eastAsia="宋体" w:cs="Times New Roman"/>
          <w:sz w:val="21"/>
          <w:lang w:val="en-US" w:eastAsia="zh-CN"/>
        </w:rPr>
        <w:t xml:space="preserve">one step qRT- PCR Mix </w:t>
      </w:r>
      <w:r>
        <w:rPr>
          <w:rFonts w:hint="eastAsia" w:eastAsia="宋体"/>
          <w:sz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w w:val="95"/>
          <w:sz w:val="24"/>
          <w:szCs w:val="24"/>
          <w:lang w:val="en-US" w:eastAsia="zh-CN"/>
        </w:rPr>
        <w:t xml:space="preserve"> 试剂中引入了</w:t>
      </w:r>
      <w:r>
        <w:rPr>
          <w:rFonts w:hint="default" w:ascii="Times New Roman" w:hAnsi="Times New Roman" w:cs="Times New Roman" w:eastAsiaTheme="minorEastAsia"/>
          <w:w w:val="95"/>
          <w:sz w:val="24"/>
          <w:szCs w:val="24"/>
          <w:lang w:val="en-US" w:eastAsia="zh-CN"/>
        </w:rPr>
        <w:t>dUTP/UDG</w:t>
      </w:r>
      <w:r>
        <w:rPr>
          <w:rFonts w:hint="eastAsia" w:asciiTheme="minorEastAsia" w:hAnsiTheme="minorEastAsia" w:eastAsiaTheme="minorEastAsia"/>
          <w:w w:val="95"/>
          <w:sz w:val="24"/>
          <w:szCs w:val="24"/>
          <w:lang w:val="en-US" w:eastAsia="zh-CN"/>
        </w:rPr>
        <w:t>防污染系统，可消除扩增污染对</w:t>
      </w:r>
      <w:r>
        <w:rPr>
          <w:rFonts w:hint="default" w:ascii="Times New Roman" w:hAnsi="Times New Roman" w:cs="Times New Roman" w:eastAsiaTheme="minorEastAsia"/>
          <w:w w:val="95"/>
          <w:sz w:val="24"/>
          <w:szCs w:val="24"/>
          <w:lang w:val="en-US" w:eastAsia="zh-CN"/>
        </w:rPr>
        <w:t>qPCR</w:t>
      </w:r>
      <w:r>
        <w:rPr>
          <w:rFonts w:hint="eastAsia" w:asciiTheme="minorEastAsia" w:hAnsiTheme="minorEastAsia" w:eastAsiaTheme="minorEastAsia"/>
          <w:w w:val="95"/>
          <w:sz w:val="24"/>
          <w:szCs w:val="24"/>
          <w:lang w:val="en-US" w:eastAsia="zh-CN"/>
        </w:rPr>
        <w:t>的影响。</w:t>
      </w:r>
    </w:p>
    <w:p>
      <w:pPr>
        <w:spacing w:line="276" w:lineRule="auto"/>
        <w:jc w:val="left"/>
        <w:rPr>
          <w:rFonts w:hint="default" w:asciiTheme="minorEastAsia" w:hAnsiTheme="minorEastAsia" w:eastAsiaTheme="minorEastAsia"/>
          <w:w w:val="95"/>
          <w:sz w:val="24"/>
          <w:szCs w:val="24"/>
          <w:lang w:val="en-US" w:eastAsia="zh-CN"/>
        </w:rPr>
      </w:pPr>
    </w:p>
    <w:p>
      <w:pPr>
        <w:pStyle w:val="2"/>
        <w:spacing w:after="54"/>
        <w:ind w:left="0" w:leftChars="0" w:firstLine="0" w:firstLineChars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试剂盒组成</w:t>
      </w:r>
    </w:p>
    <w:tbl>
      <w:tblPr>
        <w:tblStyle w:val="1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2"/>
        <w:gridCol w:w="34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722" w:type="dxa"/>
          </w:tcPr>
          <w:p>
            <w:pPr>
              <w:pStyle w:val="12"/>
              <w:spacing w:before="37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b/>
                <w:bCs/>
                <w:sz w:val="21"/>
              </w:rPr>
              <w:t>组分</w:t>
            </w:r>
          </w:p>
        </w:tc>
        <w:tc>
          <w:tcPr>
            <w:tcW w:w="3434" w:type="dxa"/>
          </w:tcPr>
          <w:p>
            <w:pPr>
              <w:pStyle w:val="12"/>
              <w:spacing w:before="59"/>
              <w:ind w:left="1084" w:right="106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M-DNA01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2722" w:type="dxa"/>
          </w:tcPr>
          <w:p>
            <w:pPr>
              <w:pStyle w:val="12"/>
              <w:spacing w:before="59"/>
              <w:jc w:val="center"/>
              <w:rPr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R</w:t>
            </w:r>
            <w:r>
              <w:rPr>
                <w:sz w:val="21"/>
              </w:rPr>
              <w:t>NA-Lysis</w:t>
            </w:r>
          </w:p>
        </w:tc>
        <w:tc>
          <w:tcPr>
            <w:tcW w:w="3434" w:type="dxa"/>
          </w:tcPr>
          <w:p>
            <w:pPr>
              <w:pStyle w:val="12"/>
              <w:spacing w:before="59"/>
              <w:jc w:val="center"/>
              <w:rPr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 xml:space="preserve"> 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    </w:t>
            </w:r>
            <w:r>
              <w:rPr>
                <w:rFonts w:hint="eastAsia" w:eastAsia="宋体"/>
                <w:sz w:val="21"/>
                <w:lang w:eastAsia="zh-CN"/>
              </w:rPr>
              <w:t xml:space="preserve"> 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rFonts w:hint="eastAsia" w:eastAsia="宋体"/>
                <w:sz w:val="21"/>
                <w:lang w:val="en-US" w:eastAsia="zh-CN"/>
              </w:rPr>
              <w:t>.5</w:t>
            </w:r>
            <w:r>
              <w:rPr>
                <w:sz w:val="21"/>
              </w:rPr>
              <w:t xml:space="preserve"> mL</w:t>
            </w:r>
            <w:r>
              <w:rPr>
                <w:rFonts w:hint="eastAsia" w:eastAsia="宋体"/>
                <w:sz w:val="21"/>
                <w:lang w:eastAsia="zh-CN"/>
              </w:rPr>
              <w:t xml:space="preserve">   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</w:rPr>
              <w:t>（5</w:t>
            </w:r>
            <w:r>
              <w:rPr>
                <w:sz w:val="21"/>
              </w:rPr>
              <w:t>0T</w:t>
            </w:r>
            <w:r>
              <w:rPr>
                <w:rFonts w:hint="eastAsia"/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2722" w:type="dxa"/>
          </w:tcPr>
          <w:p>
            <w:pPr>
              <w:pStyle w:val="12"/>
              <w:spacing w:before="59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  <w:r>
              <w:rPr>
                <w:sz w:val="21"/>
              </w:rPr>
              <w:t>×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one step qRT- PCR Mix </w:t>
            </w:r>
          </w:p>
        </w:tc>
        <w:tc>
          <w:tcPr>
            <w:tcW w:w="3434" w:type="dxa"/>
          </w:tcPr>
          <w:p>
            <w:pPr>
              <w:pStyle w:val="12"/>
              <w:spacing w:before="59"/>
              <w:ind w:firstLine="1050" w:firstLineChars="500"/>
              <w:jc w:val="both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lang w:eastAsia="zh-CN"/>
              </w:rPr>
              <w:t xml:space="preserve">00 </w:t>
            </w:r>
            <w:r>
              <w:rPr>
                <w:sz w:val="21"/>
              </w:rPr>
              <w:t>μL</w:t>
            </w:r>
            <w:r>
              <w:rPr>
                <w:rFonts w:hint="eastAsia"/>
                <w:sz w:val="21"/>
                <w:lang w:eastAsia="zh-CN"/>
              </w:rPr>
              <w:t xml:space="preserve"> </w:t>
            </w:r>
            <w:r>
              <w:rPr>
                <w:rFonts w:hint="eastAsia"/>
                <w:sz w:val="21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lang w:eastAsia="zh-CN"/>
              </w:rPr>
              <w:t>( 50T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2722" w:type="dxa"/>
          </w:tcPr>
          <w:p>
            <w:pPr>
              <w:pStyle w:val="12"/>
              <w:spacing w:before="59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bookmarkStart w:id="0" w:name="_Hlk59022763"/>
            <w:r>
              <w:rPr>
                <w:rFonts w:hint="eastAsia" w:eastAsia="宋体"/>
                <w:sz w:val="21"/>
                <w:lang w:val="en-US" w:eastAsia="zh-CN"/>
              </w:rPr>
              <w:t>样品稀释液</w:t>
            </w:r>
          </w:p>
        </w:tc>
        <w:tc>
          <w:tcPr>
            <w:tcW w:w="3434" w:type="dxa"/>
          </w:tcPr>
          <w:p>
            <w:pPr>
              <w:pStyle w:val="12"/>
              <w:spacing w:before="59"/>
              <w:ind w:firstLine="1050" w:firstLineChars="5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20  ml         </w:t>
            </w:r>
            <w:r>
              <w:rPr>
                <w:rFonts w:hint="eastAsia"/>
                <w:sz w:val="21"/>
                <w:lang w:eastAsia="zh-CN"/>
              </w:rPr>
              <w:t>( 50T )</w:t>
            </w:r>
          </w:p>
        </w:tc>
      </w:tr>
    </w:tbl>
    <w:p>
      <w:pPr>
        <w:spacing w:before="141"/>
        <w:rPr>
          <w:rFonts w:asciiTheme="minorEastAsia" w:hAnsiTheme="minorEastAsia" w:eastAsiaTheme="minorEastAsia"/>
          <w:spacing w:val="-7"/>
          <w:sz w:val="24"/>
          <w:szCs w:val="24"/>
          <w:lang w:eastAsia="zh-CN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保存</w:t>
      </w: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t>期</w:t>
      </w:r>
      <w:bookmarkEnd w:id="0"/>
      <w:bookmarkStart w:id="1" w:name="_Hlk59022745"/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-20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 xml:space="preserve">ºC </w:t>
      </w:r>
      <w:r>
        <w:rPr>
          <w:rFonts w:asciiTheme="minorEastAsia" w:hAnsiTheme="minorEastAsia" w:eastAsiaTheme="minorEastAsia"/>
          <w:spacing w:val="-7"/>
          <w:sz w:val="24"/>
          <w:szCs w:val="24"/>
          <w:lang w:eastAsia="zh-CN"/>
        </w:rPr>
        <w:t>保存</w:t>
      </w:r>
      <w:r>
        <w:rPr>
          <w:rFonts w:hint="eastAsia" w:asciiTheme="minorEastAsia" w:hAnsiTheme="minorEastAsia" w:eastAsiaTheme="minorEastAsia"/>
          <w:spacing w:val="-7"/>
          <w:sz w:val="24"/>
          <w:szCs w:val="24"/>
          <w:lang w:eastAsia="zh-CN"/>
        </w:rPr>
        <w:t>，保存期一年。</w:t>
      </w:r>
    </w:p>
    <w:p>
      <w:pPr>
        <w:pStyle w:val="3"/>
        <w:spacing w:before="84"/>
        <w:ind w:left="0"/>
        <w:rPr>
          <w:rFonts w:asciiTheme="minorEastAsia" w:hAnsiTheme="minorEastAsia" w:eastAsia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pacing w:val="-7"/>
          <w:sz w:val="24"/>
          <w:szCs w:val="24"/>
          <w:lang w:eastAsia="zh-CN"/>
        </w:rPr>
        <w:t>注意：</w:t>
      </w:r>
      <w:r>
        <w:rPr>
          <w:rFonts w:asciiTheme="minorEastAsia" w:hAnsiTheme="minorEastAsia" w:eastAsiaTheme="minorEastAsia"/>
          <w:b/>
          <w:bCs/>
          <w:spacing w:val="-7"/>
          <w:sz w:val="24"/>
          <w:szCs w:val="24"/>
          <w:lang w:eastAsia="zh-CN"/>
        </w:rPr>
        <w:t>使用前将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R</w:t>
      </w:r>
      <w:r>
        <w:rPr>
          <w:rFonts w:asciiTheme="minorEastAsia" w:hAnsiTheme="minorEastAsia" w:eastAsiaTheme="minorEastAsia"/>
          <w:b/>
          <w:bCs/>
          <w:sz w:val="24"/>
          <w:szCs w:val="24"/>
          <w:lang w:eastAsia="zh-CN"/>
        </w:rPr>
        <w:t>NA-Lysis室温充分混匀。</w:t>
      </w:r>
    </w:p>
    <w:bookmarkEnd w:id="1"/>
    <w:p>
      <w:pPr>
        <w:pStyle w:val="2"/>
        <w:spacing w:before="169"/>
        <w:ind w:left="0"/>
        <w:rPr>
          <w:rFonts w:asciiTheme="minorEastAsia" w:hAnsiTheme="minorEastAsia" w:eastAsiaTheme="minorEastAsia"/>
          <w:b w:val="0"/>
          <w:bCs w:val="0"/>
          <w:sz w:val="24"/>
          <w:szCs w:val="24"/>
          <w:u w:val="none"/>
          <w:lang w:eastAsia="zh-CN"/>
        </w:rPr>
      </w:pPr>
      <w:r>
        <w:rPr>
          <w:rFonts w:asciiTheme="minorEastAsia" w:hAnsiTheme="minorEastAsia" w:eastAsiaTheme="minorEastAsia"/>
          <w:sz w:val="24"/>
          <w:szCs w:val="24"/>
          <w:u w:val="none"/>
          <w:lang w:eastAsia="zh-CN"/>
        </w:rPr>
        <w:t>准备</w:t>
      </w:r>
      <w:r>
        <w:rPr>
          <w:rFonts w:hint="eastAsia" w:asciiTheme="minorEastAsia" w:hAnsiTheme="minorEastAsia" w:eastAsiaTheme="minorEastAsia"/>
          <w:sz w:val="24"/>
          <w:szCs w:val="24"/>
          <w:u w:val="none"/>
          <w:lang w:eastAsia="zh-CN"/>
        </w:rPr>
        <w:t>的仪器：</w:t>
      </w:r>
      <w:r>
        <w:rPr>
          <w:rFonts w:asciiTheme="minorEastAsia" w:hAnsiTheme="minorEastAsia" w:eastAsiaTheme="minorEastAsia"/>
          <w:b w:val="0"/>
          <w:bCs w:val="0"/>
          <w:sz w:val="24"/>
          <w:szCs w:val="24"/>
          <w:u w:val="none"/>
          <w:lang w:eastAsia="zh-CN"/>
        </w:rPr>
        <w:t>离心机</w:t>
      </w:r>
      <w:r>
        <w:rPr>
          <w:rFonts w:hint="eastAsia" w:asciiTheme="minorEastAsia" w:hAnsiTheme="minorEastAsia" w:eastAsiaTheme="minorEastAsia"/>
          <w:b w:val="0"/>
          <w:bCs w:val="0"/>
          <w:sz w:val="24"/>
          <w:szCs w:val="24"/>
          <w:u w:val="none"/>
          <w:lang w:eastAsia="zh-CN"/>
        </w:rPr>
        <w:t>、移液器、PCR仪</w:t>
      </w:r>
    </w:p>
    <w:p>
      <w:pPr>
        <w:pStyle w:val="2"/>
        <w:ind w:left="0"/>
        <w:rPr>
          <w:rFonts w:asciiTheme="minorEastAsia" w:hAnsiTheme="minorEastAsia" w:eastAsiaTheme="minorEastAsia"/>
          <w:sz w:val="24"/>
          <w:szCs w:val="24"/>
          <w:u w:val="none"/>
          <w:lang w:eastAsia="zh-CN"/>
        </w:rPr>
      </w:pPr>
      <w:r>
        <w:rPr>
          <w:rFonts w:asciiTheme="minorEastAsia" w:hAnsiTheme="minorEastAsia" w:eastAsiaTheme="minorEastAsia"/>
          <w:sz w:val="24"/>
          <w:szCs w:val="24"/>
          <w:u w:val="none"/>
          <w:lang w:eastAsia="zh-CN"/>
        </w:rPr>
        <w:t>使用方法</w:t>
      </w:r>
    </w:p>
    <w:p>
      <w:pPr>
        <w:pStyle w:val="3"/>
        <w:numPr>
          <w:ilvl w:val="0"/>
          <w:numId w:val="1"/>
        </w:numPr>
        <w:spacing w:before="83"/>
        <w:rPr>
          <w:rFonts w:asciiTheme="minorEastAsia" w:hAnsiTheme="minorEastAsia" w:eastAsiaTheme="minorEastAsia"/>
          <w:b/>
          <w:bCs/>
          <w:sz w:val="24"/>
          <w:szCs w:val="24"/>
          <w:lang w:eastAsia="zh-CN"/>
        </w:rPr>
      </w:pPr>
      <w:r>
        <w:rPr>
          <w:rFonts w:asciiTheme="minorEastAsia" w:hAnsiTheme="minorEastAsia" w:eastAsiaTheme="minorEastAsia"/>
          <w:b/>
          <w:bCs/>
          <w:sz w:val="24"/>
          <w:szCs w:val="24"/>
          <w:lang w:eastAsia="zh-CN"/>
        </w:rPr>
        <w:t>样品的处理方法</w:t>
      </w:r>
    </w:p>
    <w:p>
      <w:pPr>
        <w:spacing w:line="276" w:lineRule="auto"/>
        <w:jc w:val="left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1.少量样本处理方法</w:t>
      </w:r>
    </w:p>
    <w:p>
      <w:pPr>
        <w:spacing w:line="276" w:lineRule="auto"/>
        <w:jc w:val="left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1）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吸取15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μL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样本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放入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1.5ml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离心管中。</w:t>
      </w:r>
    </w:p>
    <w:p>
      <w:pPr>
        <w:spacing w:line="276" w:lineRule="auto"/>
        <w:jc w:val="left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2）加入2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μL 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R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NA Lysis。</w:t>
      </w:r>
    </w:p>
    <w:p>
      <w:pPr>
        <w:spacing w:line="276" w:lineRule="auto"/>
        <w:jc w:val="left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3）充分混匀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,室温静置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5分钟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，加入350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µL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样品稀释液混匀。</w:t>
      </w:r>
    </w:p>
    <w:p>
      <w:pPr>
        <w:spacing w:line="276" w:lineRule="auto"/>
        <w:jc w:val="left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（4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）10,000rpm离心1分钟，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取1-2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μL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作为PCR反应模板。</w:t>
      </w:r>
    </w:p>
    <w:p>
      <w:pPr>
        <w:spacing w:line="276" w:lineRule="auto"/>
        <w:jc w:val="left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2.大量样本处理方法</w:t>
      </w:r>
    </w:p>
    <w:p>
      <w:pPr>
        <w:spacing w:line="276" w:lineRule="auto"/>
        <w:jc w:val="left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（1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）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分别吸取15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μL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不同的样本依次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放入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8联管中。</w:t>
      </w:r>
    </w:p>
    <w:p>
      <w:pPr>
        <w:spacing w:line="276" w:lineRule="auto"/>
        <w:jc w:val="left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（2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）加入2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μL 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R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NA Lysis。</w:t>
      </w:r>
    </w:p>
    <w:p>
      <w:pPr>
        <w:spacing w:line="276" w:lineRule="auto"/>
        <w:jc w:val="left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（3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）充分混匀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,室温静置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5分钟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10,000rpm离心1分钟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。</w:t>
      </w:r>
    </w:p>
    <w:p>
      <w:pPr>
        <w:spacing w:line="276" w:lineRule="auto"/>
        <w:jc w:val="left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（4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）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分别从（3）中吸取10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μL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处理后样品依次加入一新的8联管。</w:t>
      </w:r>
    </w:p>
    <w:p>
      <w:pPr>
        <w:spacing w:line="276" w:lineRule="auto"/>
        <w:jc w:val="left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（5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）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每孔分别加入90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µL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样品稀释液混匀。取1-2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μL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作为荧光PCR反应模板。</w:t>
      </w:r>
    </w:p>
    <w:p>
      <w:pPr>
        <w:pStyle w:val="3"/>
        <w:spacing w:after="30"/>
        <w:ind w:left="0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sz w:val="24"/>
          <w:szCs w:val="24"/>
        </w:rPr>
        <w:t>二、在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R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Nase free 的离心管中配制PCR反应体系</w:t>
      </w:r>
    </w:p>
    <w:tbl>
      <w:tblPr>
        <w:tblStyle w:val="10"/>
        <w:tblW w:w="61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5"/>
        <w:gridCol w:w="3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3095" w:type="dxa"/>
          </w:tcPr>
          <w:p>
            <w:pPr>
              <w:pStyle w:val="12"/>
              <w:spacing w:before="0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PCR反应体系</w:t>
            </w:r>
          </w:p>
        </w:tc>
        <w:tc>
          <w:tcPr>
            <w:tcW w:w="3104" w:type="dxa"/>
          </w:tcPr>
          <w:p>
            <w:pPr>
              <w:pStyle w:val="12"/>
              <w:spacing w:before="13"/>
              <w:ind w:left="599" w:right="593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 μL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体系（推荐）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3095" w:type="dxa"/>
          </w:tcPr>
          <w:p>
            <w:pPr>
              <w:pStyle w:val="12"/>
              <w:jc w:val="center"/>
              <w:rPr>
                <w:sz w:val="21"/>
                <w:szCs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  <w:r>
              <w:rPr>
                <w:sz w:val="21"/>
              </w:rPr>
              <w:t>×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one step qRT- PCR Mix </w:t>
            </w:r>
          </w:p>
        </w:tc>
        <w:tc>
          <w:tcPr>
            <w:tcW w:w="3104" w:type="dxa"/>
          </w:tcPr>
          <w:p>
            <w:pPr>
              <w:pStyle w:val="12"/>
              <w:ind w:left="592" w:right="593"/>
              <w:jc w:val="center"/>
              <w:rPr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sz w:val="21"/>
                <w:szCs w:val="21"/>
              </w:rPr>
              <w:t xml:space="preserve"> μL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3095" w:type="dxa"/>
          </w:tcPr>
          <w:p>
            <w:pPr>
              <w:pStyle w:val="12"/>
              <w:spacing w:before="2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Forward Primer (10 μM)</w:t>
            </w:r>
          </w:p>
        </w:tc>
        <w:tc>
          <w:tcPr>
            <w:tcW w:w="3104" w:type="dxa"/>
          </w:tcPr>
          <w:p>
            <w:pPr>
              <w:pStyle w:val="12"/>
              <w:ind w:left="599" w:right="593"/>
              <w:jc w:val="center"/>
              <w:rPr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0.4-1</w:t>
            </w:r>
            <w:r>
              <w:rPr>
                <w:sz w:val="21"/>
                <w:szCs w:val="21"/>
              </w:rPr>
              <w:t>μL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3095" w:type="dxa"/>
          </w:tcPr>
          <w:p>
            <w:pPr>
              <w:pStyle w:val="12"/>
              <w:spacing w:before="2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Reverse Primer (10 μM)</w:t>
            </w:r>
          </w:p>
        </w:tc>
        <w:tc>
          <w:tcPr>
            <w:tcW w:w="3104" w:type="dxa"/>
          </w:tcPr>
          <w:p>
            <w:pPr>
              <w:pStyle w:val="12"/>
              <w:ind w:left="599" w:right="593"/>
              <w:jc w:val="center"/>
              <w:rPr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0.4-1</w:t>
            </w:r>
            <w:r>
              <w:rPr>
                <w:sz w:val="21"/>
                <w:szCs w:val="21"/>
              </w:rPr>
              <w:t xml:space="preserve"> μL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3095" w:type="dxa"/>
          </w:tcPr>
          <w:p>
            <w:pPr>
              <w:pStyle w:val="12"/>
              <w:spacing w:before="26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TaqMan Probe</w:t>
            </w:r>
          </w:p>
        </w:tc>
        <w:tc>
          <w:tcPr>
            <w:tcW w:w="3104" w:type="dxa"/>
          </w:tcPr>
          <w:p>
            <w:pPr>
              <w:pStyle w:val="12"/>
              <w:spacing w:before="50"/>
              <w:ind w:left="599" w:right="593"/>
              <w:jc w:val="center"/>
              <w:rPr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0.4-1</w:t>
            </w:r>
            <w:r>
              <w:rPr>
                <w:sz w:val="21"/>
                <w:szCs w:val="21"/>
              </w:rPr>
              <w:t xml:space="preserve"> μL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3095" w:type="dxa"/>
            <w:vAlign w:val="top"/>
          </w:tcPr>
          <w:p>
            <w:pPr>
              <w:pStyle w:val="12"/>
              <w:spacing w:before="26"/>
              <w:ind w:left="115" w:left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Template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R</w:t>
            </w:r>
            <w:r>
              <w:rPr>
                <w:sz w:val="21"/>
                <w:szCs w:val="21"/>
              </w:rPr>
              <w:t>NA</w:t>
            </w:r>
          </w:p>
        </w:tc>
        <w:tc>
          <w:tcPr>
            <w:tcW w:w="3104" w:type="dxa"/>
            <w:vAlign w:val="top"/>
          </w:tcPr>
          <w:p>
            <w:pPr>
              <w:pStyle w:val="12"/>
              <w:spacing w:before="50"/>
              <w:ind w:left="599" w:leftChars="0" w:right="593" w:rightChars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1-2</w:t>
            </w:r>
            <w:r>
              <w:rPr>
                <w:sz w:val="21"/>
                <w:szCs w:val="21"/>
              </w:rPr>
              <w:t xml:space="preserve"> μL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3095" w:type="dxa"/>
          </w:tcPr>
          <w:p>
            <w:pPr>
              <w:pStyle w:val="3"/>
              <w:spacing w:before="9"/>
              <w:ind w:left="0"/>
              <w:jc w:val="center"/>
            </w:pPr>
            <w:r>
              <w:rPr>
                <w:rFonts w:ascii="Times New Roman" w:hAnsi="Times New Roman" w:eastAsia="Times New Roman" w:cs="Times New Roman"/>
              </w:rPr>
              <w:t>ddH</w:t>
            </w:r>
            <w:r>
              <w:rPr>
                <w:rFonts w:ascii="Times New Roman" w:hAnsi="Times New Roman" w:eastAsia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eastAsia="Times New Roman" w:cs="Times New Roman"/>
              </w:rPr>
              <w:t>O</w:t>
            </w:r>
          </w:p>
        </w:tc>
        <w:tc>
          <w:tcPr>
            <w:tcW w:w="3104" w:type="dxa"/>
          </w:tcPr>
          <w:p>
            <w:pPr>
              <w:pStyle w:val="12"/>
              <w:ind w:left="599" w:right="593"/>
              <w:jc w:val="center"/>
              <w:rPr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补足至</w:t>
            </w:r>
            <w:r>
              <w:rPr>
                <w:rFonts w:eastAsia="宋体"/>
                <w:sz w:val="21"/>
                <w:szCs w:val="21"/>
                <w:lang w:eastAsia="zh-CN"/>
              </w:rPr>
              <w:t>20 μL</w:t>
            </w:r>
          </w:p>
        </w:tc>
      </w:tr>
    </w:tbl>
    <w:p>
      <w:pPr>
        <w:pStyle w:val="3"/>
        <w:spacing w:before="5"/>
        <w:ind w:left="0"/>
        <w:rPr>
          <w:sz w:val="25"/>
        </w:rPr>
      </w:pPr>
    </w:p>
    <w:p>
      <w:pPr>
        <w:pStyle w:val="3"/>
        <w:spacing w:after="30"/>
        <w:ind w:left="116"/>
        <w:rPr>
          <w:b/>
          <w:bCs/>
          <w:sz w:val="25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三、反应程序</w:t>
      </w:r>
    </w:p>
    <w:tbl>
      <w:tblPr>
        <w:tblStyle w:val="1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1"/>
        <w:gridCol w:w="1997"/>
        <w:gridCol w:w="19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161" w:type="dxa"/>
          </w:tcPr>
          <w:p>
            <w:pPr>
              <w:pStyle w:val="12"/>
              <w:spacing w:before="27"/>
              <w:jc w:val="center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温度</w:t>
            </w:r>
          </w:p>
        </w:tc>
        <w:tc>
          <w:tcPr>
            <w:tcW w:w="1997" w:type="dxa"/>
          </w:tcPr>
          <w:p>
            <w:pPr>
              <w:pStyle w:val="12"/>
              <w:spacing w:before="27"/>
              <w:jc w:val="center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998" w:type="dxa"/>
          </w:tcPr>
          <w:p>
            <w:pPr>
              <w:pStyle w:val="12"/>
              <w:spacing w:before="27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  <w:t>循环数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2161" w:type="dxa"/>
          </w:tcPr>
          <w:p>
            <w:pPr>
              <w:pStyle w:val="12"/>
              <w:spacing w:before="27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55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ºC</w:t>
            </w:r>
          </w:p>
        </w:tc>
        <w:tc>
          <w:tcPr>
            <w:tcW w:w="1997" w:type="dxa"/>
          </w:tcPr>
          <w:p>
            <w:pPr>
              <w:pStyle w:val="12"/>
              <w:spacing w:before="27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min</w:t>
            </w:r>
          </w:p>
        </w:tc>
        <w:tc>
          <w:tcPr>
            <w:tcW w:w="1998" w:type="dxa"/>
          </w:tcPr>
          <w:p>
            <w:pPr>
              <w:pStyle w:val="12"/>
              <w:spacing w:before="27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161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95ºC</w:t>
            </w:r>
          </w:p>
        </w:tc>
        <w:tc>
          <w:tcPr>
            <w:tcW w:w="1997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30sec</w:t>
            </w:r>
          </w:p>
        </w:tc>
        <w:tc>
          <w:tcPr>
            <w:tcW w:w="1998" w:type="dxa"/>
          </w:tcPr>
          <w:p>
            <w:pPr>
              <w:pStyle w:val="12"/>
              <w:spacing w:before="27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161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95ºC</w:t>
            </w:r>
          </w:p>
        </w:tc>
        <w:tc>
          <w:tcPr>
            <w:tcW w:w="1997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sec</w:t>
            </w:r>
          </w:p>
        </w:tc>
        <w:tc>
          <w:tcPr>
            <w:tcW w:w="1998" w:type="dxa"/>
            <w:vMerge w:val="restart"/>
          </w:tcPr>
          <w:p>
            <w:pPr>
              <w:pStyle w:val="12"/>
              <w:spacing w:before="27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  <w:p>
            <w:pPr>
              <w:pStyle w:val="12"/>
              <w:spacing w:before="27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40-45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2161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ºC</w:t>
            </w:r>
          </w:p>
        </w:tc>
        <w:tc>
          <w:tcPr>
            <w:tcW w:w="1997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sec</w:t>
            </w:r>
          </w:p>
        </w:tc>
        <w:tc>
          <w:tcPr>
            <w:tcW w:w="1998" w:type="dxa"/>
            <w:vMerge w:val="continue"/>
          </w:tcPr>
          <w:p>
            <w:pPr>
              <w:pStyle w:val="12"/>
              <w:spacing w:before="27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</w:tbl>
    <w:p>
      <w:pPr>
        <w:pStyle w:val="3"/>
        <w:spacing w:before="5"/>
        <w:ind w:left="0"/>
        <w:rPr>
          <w:sz w:val="25"/>
        </w:rPr>
      </w:pPr>
    </w:p>
    <w:p>
      <w:pPr>
        <w:pStyle w:val="2"/>
        <w:ind w:left="0"/>
        <w:rPr>
          <w:rFonts w:asciiTheme="minorEastAsia" w:hAnsiTheme="minorEastAsia" w:eastAsiaTheme="minorEastAsia"/>
          <w:u w:val="none"/>
        </w:rPr>
      </w:pPr>
      <w:r>
        <w:rPr>
          <w:rFonts w:asciiTheme="minorEastAsia" w:hAnsiTheme="minorEastAsia" w:eastAsiaTheme="minorEastAsia"/>
          <w:u w:val="none"/>
        </w:rPr>
        <w:t>注意事项</w:t>
      </w:r>
    </w:p>
    <w:p>
      <w:pPr>
        <w:tabs>
          <w:tab w:val="left" w:pos="1063"/>
        </w:tabs>
        <w:spacing w:before="44" w:line="278" w:lineRule="auto"/>
        <w:ind w:right="173" w:firstLine="408" w:firstLineChars="20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pacing w:val="-3"/>
          <w:sz w:val="21"/>
          <w:szCs w:val="21"/>
          <w:lang w:eastAsia="zh-CN"/>
        </w:rPr>
        <w:t>（1）</w:t>
      </w:r>
      <w:r>
        <w:rPr>
          <w:rFonts w:asciiTheme="minorEastAsia" w:hAnsiTheme="minorEastAsia" w:eastAsiaTheme="minorEastAsia"/>
          <w:spacing w:val="-3"/>
          <w:sz w:val="21"/>
          <w:szCs w:val="21"/>
          <w:lang w:eastAsia="zh-CN"/>
        </w:rPr>
        <w:t>在进行大量样品检测时，可将本试剂盒的试剂预分装到</w:t>
      </w:r>
      <w:r>
        <w:rPr>
          <w:rFonts w:asciiTheme="minorEastAsia" w:hAnsiTheme="minorEastAsia" w:eastAsiaTheme="minorEastAsia"/>
          <w:sz w:val="21"/>
          <w:szCs w:val="21"/>
          <w:lang w:eastAsia="zh-CN"/>
        </w:rPr>
        <w:t>8</w:t>
      </w:r>
      <w:r>
        <w:rPr>
          <w:rFonts w:asciiTheme="minorEastAsia" w:hAnsiTheme="minorEastAsia" w:eastAsiaTheme="minorEastAsia"/>
          <w:spacing w:val="-33"/>
          <w:sz w:val="21"/>
          <w:szCs w:val="21"/>
          <w:lang w:eastAsia="zh-CN"/>
        </w:rPr>
        <w:t xml:space="preserve">联 </w:t>
      </w:r>
      <w:r>
        <w:rPr>
          <w:rFonts w:asciiTheme="minorEastAsia" w:hAnsiTheme="minorEastAsia" w:eastAsiaTheme="minorEastAsia"/>
          <w:sz w:val="21"/>
          <w:szCs w:val="21"/>
          <w:lang w:eastAsia="zh-CN"/>
        </w:rPr>
        <w:t>PCR管，用多通道移液器进行多样本的处理。</w:t>
      </w:r>
    </w:p>
    <w:p>
      <w:pPr>
        <w:tabs>
          <w:tab w:val="left" w:pos="1063"/>
        </w:tabs>
        <w:ind w:firstLine="420" w:firstLineChars="20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（2）</w:t>
      </w:r>
      <w:r>
        <w:rPr>
          <w:rFonts w:asciiTheme="minorEastAsia" w:hAnsiTheme="minorEastAsia" w:eastAsiaTheme="minorEastAsia"/>
          <w:sz w:val="21"/>
          <w:szCs w:val="21"/>
          <w:lang w:eastAsia="zh-CN"/>
        </w:rPr>
        <w:t>取样的细胞量应当适中，浓度不宜过高或过低，处理后溶液应当以透明为宜。扩增病毒基因时需要根据病毒的滴度决定取样的细胞数量。</w:t>
      </w:r>
    </w:p>
    <w:p>
      <w:pPr>
        <w:tabs>
          <w:tab w:val="left" w:pos="1063"/>
        </w:tabs>
        <w:spacing w:before="44"/>
        <w:ind w:firstLine="543" w:firstLineChars="30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pacing w:val="-9"/>
          <w:w w:val="95"/>
          <w:sz w:val="21"/>
          <w:szCs w:val="21"/>
          <w:lang w:eastAsia="zh-CN"/>
        </w:rPr>
        <w:t>（3）</w:t>
      </w:r>
      <w:r>
        <w:rPr>
          <w:rFonts w:asciiTheme="minorEastAsia" w:hAnsiTheme="minorEastAsia" w:eastAsiaTheme="minorEastAsia"/>
          <w:spacing w:val="-9"/>
          <w:w w:val="95"/>
          <w:sz w:val="21"/>
          <w:szCs w:val="21"/>
          <w:lang w:eastAsia="zh-CN"/>
        </w:rPr>
        <w:t>样品处理过程中应当防止交叉污染，推荐设置阴性样品参与处理过程，以检测环境的污染。</w:t>
      </w:r>
    </w:p>
    <w:p>
      <w:pPr>
        <w:tabs>
          <w:tab w:val="left" w:pos="1063"/>
        </w:tabs>
        <w:ind w:firstLine="430" w:firstLineChars="20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pacing w:val="4"/>
          <w:w w:val="99"/>
          <w:sz w:val="21"/>
          <w:szCs w:val="21"/>
          <w:lang w:eastAsia="zh-CN"/>
        </w:rPr>
        <w:t>（4）</w:t>
      </w:r>
      <w:r>
        <w:rPr>
          <w:rFonts w:asciiTheme="minorEastAsia" w:hAnsiTheme="minorEastAsia" w:eastAsiaTheme="minorEastAsia"/>
          <w:spacing w:val="4"/>
          <w:w w:val="99"/>
          <w:sz w:val="21"/>
          <w:szCs w:val="21"/>
          <w:lang w:eastAsia="zh-CN"/>
        </w:rPr>
        <w:t>P</w:t>
      </w:r>
      <w:r>
        <w:rPr>
          <w:rFonts w:asciiTheme="minorEastAsia" w:hAnsiTheme="minorEastAsia" w:eastAsiaTheme="minorEastAsia"/>
          <w:spacing w:val="5"/>
          <w:w w:val="99"/>
          <w:sz w:val="21"/>
          <w:szCs w:val="21"/>
          <w:lang w:eastAsia="zh-CN"/>
        </w:rPr>
        <w:t>C</w:t>
      </w:r>
      <w:r>
        <w:rPr>
          <w:rFonts w:asciiTheme="minorEastAsia" w:hAnsiTheme="minorEastAsia" w:eastAsiaTheme="minorEastAsia"/>
          <w:w w:val="99"/>
          <w:sz w:val="21"/>
          <w:szCs w:val="21"/>
          <w:lang w:eastAsia="zh-CN"/>
        </w:rPr>
        <w:t>R</w:t>
      </w:r>
      <w:r>
        <w:rPr>
          <w:rFonts w:asciiTheme="minorEastAsia" w:hAnsiTheme="minorEastAsia" w:eastAsiaTheme="minorEastAsia"/>
          <w:spacing w:val="2"/>
          <w:w w:val="99"/>
          <w:sz w:val="21"/>
          <w:szCs w:val="21"/>
          <w:lang w:eastAsia="zh-CN"/>
        </w:rPr>
        <w:t>的退火温度可根据引物的预测</w:t>
      </w:r>
      <w:r>
        <w:rPr>
          <w:rFonts w:asciiTheme="minorEastAsia" w:hAnsiTheme="minorEastAsia" w:eastAsiaTheme="minorEastAsia"/>
          <w:spacing w:val="8"/>
          <w:w w:val="99"/>
          <w:sz w:val="21"/>
          <w:szCs w:val="21"/>
          <w:lang w:eastAsia="zh-CN"/>
        </w:rPr>
        <w:t>T</w:t>
      </w:r>
      <w:r>
        <w:rPr>
          <w:rFonts w:asciiTheme="minorEastAsia" w:hAnsiTheme="minorEastAsia" w:eastAsiaTheme="minorEastAsia"/>
          <w:w w:val="99"/>
          <w:sz w:val="21"/>
          <w:szCs w:val="21"/>
          <w:lang w:eastAsia="zh-CN"/>
        </w:rPr>
        <w:t>m</w:t>
      </w:r>
      <w:r>
        <w:rPr>
          <w:rFonts w:asciiTheme="minorEastAsia" w:hAnsiTheme="minorEastAsia" w:eastAsiaTheme="minorEastAsia"/>
          <w:spacing w:val="2"/>
          <w:w w:val="99"/>
          <w:sz w:val="21"/>
          <w:szCs w:val="21"/>
          <w:lang w:eastAsia="zh-CN"/>
        </w:rPr>
        <w:t>值减去</w:t>
      </w:r>
      <w:r>
        <w:rPr>
          <w:rFonts w:asciiTheme="minorEastAsia" w:hAnsiTheme="minorEastAsia" w:eastAsiaTheme="minorEastAsia"/>
          <w:w w:val="99"/>
          <w:sz w:val="21"/>
          <w:szCs w:val="21"/>
          <w:lang w:eastAsia="zh-CN"/>
        </w:rPr>
        <w:t>5</w:t>
      </w:r>
      <w:r>
        <w:rPr>
          <w:rFonts w:asciiTheme="minorEastAsia" w:hAnsiTheme="minorEastAsia" w:eastAsiaTheme="minorEastAsia"/>
          <w:spacing w:val="-9"/>
          <w:w w:val="99"/>
          <w:sz w:val="21"/>
          <w:szCs w:val="21"/>
          <w:lang w:eastAsia="zh-CN"/>
        </w:rPr>
        <w:t>℃，或者通过梯度</w:t>
      </w:r>
      <w:r>
        <w:rPr>
          <w:rFonts w:asciiTheme="minorEastAsia" w:hAnsiTheme="minorEastAsia" w:eastAsiaTheme="minorEastAsia"/>
          <w:spacing w:val="4"/>
          <w:w w:val="99"/>
          <w:sz w:val="21"/>
          <w:szCs w:val="21"/>
          <w:lang w:eastAsia="zh-CN"/>
        </w:rPr>
        <w:t>P</w:t>
      </w:r>
      <w:r>
        <w:rPr>
          <w:rFonts w:asciiTheme="minorEastAsia" w:hAnsiTheme="minorEastAsia" w:eastAsiaTheme="minorEastAsia"/>
          <w:spacing w:val="5"/>
          <w:w w:val="99"/>
          <w:sz w:val="21"/>
          <w:szCs w:val="21"/>
          <w:lang w:eastAsia="zh-CN"/>
        </w:rPr>
        <w:t>C</w:t>
      </w:r>
      <w:r>
        <w:rPr>
          <w:rFonts w:asciiTheme="minorEastAsia" w:hAnsiTheme="minorEastAsia" w:eastAsiaTheme="minorEastAsia"/>
          <w:w w:val="99"/>
          <w:sz w:val="21"/>
          <w:szCs w:val="21"/>
          <w:lang w:eastAsia="zh-CN"/>
        </w:rPr>
        <w:t>R摸索最佳退火温度。</w:t>
      </w:r>
    </w:p>
    <w:p>
      <w:pPr>
        <w:tabs>
          <w:tab w:val="left" w:pos="1063"/>
        </w:tabs>
        <w:ind w:firstLine="420" w:firstLineChars="20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（5）</w:t>
      </w:r>
      <w:r>
        <w:rPr>
          <w:rFonts w:asciiTheme="minorEastAsia" w:hAnsiTheme="minorEastAsia" w:eastAsiaTheme="minorEastAsia"/>
          <w:sz w:val="21"/>
          <w:szCs w:val="21"/>
          <w:lang w:eastAsia="zh-CN"/>
        </w:rPr>
        <w:t>用本试剂盒处理的样品可于-20</w:t>
      </w:r>
      <w:r>
        <w:rPr>
          <w:rFonts w:asciiTheme="minorEastAsia" w:hAnsiTheme="minorEastAsia" w:eastAsiaTheme="minorEastAsia"/>
          <w:spacing w:val="-13"/>
          <w:sz w:val="21"/>
          <w:szCs w:val="21"/>
          <w:lang w:eastAsia="zh-CN"/>
        </w:rPr>
        <w:t xml:space="preserve">℃保存 </w:t>
      </w:r>
      <w:r>
        <w:rPr>
          <w:rFonts w:asciiTheme="minorEastAsia" w:hAnsiTheme="minorEastAsia" w:eastAsiaTheme="minorEastAsia"/>
          <w:sz w:val="21"/>
          <w:szCs w:val="21"/>
          <w:lang w:eastAsia="zh-CN"/>
        </w:rPr>
        <w:t>1个月。</w:t>
      </w:r>
    </w:p>
    <w:p>
      <w:pPr>
        <w:tabs>
          <w:tab w:val="left" w:pos="1063"/>
        </w:tabs>
        <w:ind w:firstLine="420" w:firstLineChars="20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（6）</w:t>
      </w:r>
      <w:r>
        <w:rPr>
          <w:rFonts w:asciiTheme="minorEastAsia" w:hAnsiTheme="minorEastAsia" w:eastAsiaTheme="minorEastAsia"/>
          <w:sz w:val="21"/>
          <w:szCs w:val="21"/>
          <w:lang w:eastAsia="zh-CN"/>
        </w:rPr>
        <w:t>为防止试剂盒污染，请勿将不同批号试剂盒混用。</w:t>
      </w:r>
    </w:p>
    <w:p>
      <w:pPr>
        <w:pStyle w:val="7"/>
        <w:ind w:left="0" w:leftChars="0" w:firstLine="0" w:firstLineChars="0"/>
        <w:jc w:val="both"/>
        <w:rPr>
          <w:rFonts w:hint="default" w:ascii="华文中宋" w:hAnsi="华文中宋" w:eastAsia="华文中宋"/>
          <w:sz w:val="72"/>
          <w:szCs w:val="72"/>
          <w:lang w:val="en-US" w:eastAsia="zh-CN"/>
        </w:rPr>
      </w:pPr>
      <w:bookmarkStart w:id="2" w:name="_GoBack"/>
      <w:bookmarkEnd w:id="2"/>
    </w:p>
    <w:sectPr>
      <w:footerReference r:id="rId3" w:type="default"/>
      <w:pgSz w:w="11910" w:h="16840"/>
      <w:pgMar w:top="1100" w:right="1300" w:bottom="1520" w:left="1300" w:header="0" w:footer="13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884555</wp:posOffset>
              </wp:positionH>
              <wp:positionV relativeFrom="page">
                <wp:posOffset>9676765</wp:posOffset>
              </wp:positionV>
              <wp:extent cx="5795010" cy="35560"/>
              <wp:effectExtent l="0" t="0" r="0" b="2540"/>
              <wp:wrapNone/>
              <wp:docPr id="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01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o:spt="1" style="position:absolute;left:0pt;margin-left:69.65pt;margin-top:761.95pt;height:2.8pt;width:456.3pt;mso-position-horizontal-relative:page;mso-position-vertical-relative:page;z-index:-251657216;mso-width-relative:page;mso-height-relative:page;" fillcolor="#000000 [3213]" filled="t" stroked="f" coordsize="21600,21600" o:gfxdata="UEsDBAoAAAAAAIdO4kAAAAAAAAAAAAAAAAAEAAAAZHJzL1BLAwQUAAAACACHTuJArlawl9oAAAAO&#10;AQAADwAAAGRycy9kb3ducmV2LnhtbE2PzU7DMBCE70i8g7VI3KidhKAmjVOpSByRaMuB3pxkm0SN&#10;1yF2f+Dp2XKB28zuaPbbYnmxgzjh5HtHGqKZAoFUu6anVsP79uVhDsIHQ40ZHKGGL/SwLG9vCpM3&#10;7kxrPG1CK7iEfG40dCGMuZS+7tAaP3MjEu/2brImsJ1a2UzmzOV2kLFST9KanvhCZ0Z87rA+bI5W&#10;wyqbrz7fHun1e13tcPdRHdJ4Ulrf30VqASLgJfyF4YrP6FAyU+WO1HgxsE+yhKMs0jjJQFwjKo1Y&#10;Vb+zLAVZFvL/G+UPUEsDBBQAAAAIAIdO4kDNfdVwEAIAACgEAAAOAAAAZHJzL2Uyb0RvYy54bWyt&#10;U8Fu2zAMvQ/YPwi6L06ypF2NOEWRoMOAbi3W7QMYWY6FyaJGKXG6rx8lp1nWXXqYD4Yokk/vPVGL&#10;60NnxV5TMOgqORmNpdBOYW3ctpLfv92++yBFiOBqsOh0JZ90kNfLt28WvS/1FFu0tSbBIC6Uva9k&#10;G6MviyKoVncQRui142SD1EHkkLZFTdAzemeL6Xh8UfRItSdUOgTeXQ9JeUSk1wBi0xil16h2nXZx&#10;QCVtIbKk0Bof5DKzbRqt4n3TBB2FrSQrjfnPh/B6k/7FcgHllsC3Rh0pwGsovNDUgXF86AlqDRHE&#10;jsw/UJ1RhAGbOFLYFYOQ7AirmIxfePPYgtdZC1sd/Mn08P9g1Zf9AwlT8yRI4aDjC//KpoHbWi1m&#10;yZ7eh5KrHv0DJYHB36H6EYTDVctV+oYI+1ZDzaQmqb74qyEFgVvFpv+MNaPDLmJ26tBQlwDZA3HI&#10;F/J0uhB9iELx5vzyas62SKE4934+v8gXVkD53OwpxI8aO5EWlSSmnsFhfxdiIgPlc0kmj9bUt8ba&#10;HNB2s7Ik9pBmI3+ZP2s8L7MuFTtMbQNi2skqk7DBoA3WTyyScBgwfl68aJF+SdHzcFUy/NwBaSns&#10;J8dGXU1mszSNOZjNL6cc0Hlmc54BpxiqklGKYbmKwwTvPJltyydNsmiHN2xuY7LwZPzA6kiWByj7&#10;cRz2NKHnca7688C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uVrCX2gAAAA4BAAAPAAAAAAAA&#10;AAEAIAAAACIAAABkcnMvZG93bnJldi54bWxQSwECFAAUAAAACACHTuJAzX3VcBACAAAoBAAADgAA&#10;AAAAAAABACAAAAApAQAAZHJzL2Uyb0RvYy54bWxQSwUGAAAAAAYABgBZAQAAq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EC5B27"/>
    <w:multiLevelType w:val="multilevel"/>
    <w:tmpl w:val="0DEC5B2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mZWU4MTYwNTBiMDZjZDgzNDIxNjNkYTkzMmQ4ZGMifQ=="/>
  </w:docVars>
  <w:rsids>
    <w:rsidRoot w:val="00B11C04"/>
    <w:rsid w:val="00015AD1"/>
    <w:rsid w:val="00017BE9"/>
    <w:rsid w:val="00055DA6"/>
    <w:rsid w:val="001525C9"/>
    <w:rsid w:val="001D29E2"/>
    <w:rsid w:val="002030D3"/>
    <w:rsid w:val="0021179A"/>
    <w:rsid w:val="004210F2"/>
    <w:rsid w:val="00435422"/>
    <w:rsid w:val="00472877"/>
    <w:rsid w:val="004A219C"/>
    <w:rsid w:val="004B77B6"/>
    <w:rsid w:val="00510853"/>
    <w:rsid w:val="005B3619"/>
    <w:rsid w:val="005B7AEE"/>
    <w:rsid w:val="005D33D3"/>
    <w:rsid w:val="006151D3"/>
    <w:rsid w:val="00617253"/>
    <w:rsid w:val="00623B0A"/>
    <w:rsid w:val="006418DC"/>
    <w:rsid w:val="00650559"/>
    <w:rsid w:val="00666673"/>
    <w:rsid w:val="007573CA"/>
    <w:rsid w:val="00782720"/>
    <w:rsid w:val="007F133B"/>
    <w:rsid w:val="00802E06"/>
    <w:rsid w:val="00872321"/>
    <w:rsid w:val="008D06A9"/>
    <w:rsid w:val="008F1562"/>
    <w:rsid w:val="00913DE9"/>
    <w:rsid w:val="0096342A"/>
    <w:rsid w:val="009E720E"/>
    <w:rsid w:val="00A65B06"/>
    <w:rsid w:val="00A70CC5"/>
    <w:rsid w:val="00A91642"/>
    <w:rsid w:val="00B11C04"/>
    <w:rsid w:val="00BB1B7E"/>
    <w:rsid w:val="00BB7DBA"/>
    <w:rsid w:val="00BC6201"/>
    <w:rsid w:val="00C12AD4"/>
    <w:rsid w:val="00C3502A"/>
    <w:rsid w:val="00D11D30"/>
    <w:rsid w:val="00D31A8C"/>
    <w:rsid w:val="00D36F32"/>
    <w:rsid w:val="00D50982"/>
    <w:rsid w:val="00D67BA7"/>
    <w:rsid w:val="00DE5A80"/>
    <w:rsid w:val="00E40B7A"/>
    <w:rsid w:val="00E85120"/>
    <w:rsid w:val="00EA0A84"/>
    <w:rsid w:val="00EE558A"/>
    <w:rsid w:val="00F04CA1"/>
    <w:rsid w:val="00F414AD"/>
    <w:rsid w:val="00F547AA"/>
    <w:rsid w:val="00F927FA"/>
    <w:rsid w:val="04D93149"/>
    <w:rsid w:val="04F1234B"/>
    <w:rsid w:val="08AB6E76"/>
    <w:rsid w:val="0F0B4663"/>
    <w:rsid w:val="10FB68F8"/>
    <w:rsid w:val="14761E85"/>
    <w:rsid w:val="14CB3DD9"/>
    <w:rsid w:val="17A10711"/>
    <w:rsid w:val="1A4672EE"/>
    <w:rsid w:val="1BA233B0"/>
    <w:rsid w:val="2334261C"/>
    <w:rsid w:val="240F1AB2"/>
    <w:rsid w:val="26C046FC"/>
    <w:rsid w:val="27132AA7"/>
    <w:rsid w:val="2CF31ECE"/>
    <w:rsid w:val="2EF34209"/>
    <w:rsid w:val="310A6E13"/>
    <w:rsid w:val="327D7D7B"/>
    <w:rsid w:val="37612161"/>
    <w:rsid w:val="3B07678B"/>
    <w:rsid w:val="3DCB6A75"/>
    <w:rsid w:val="3F430A47"/>
    <w:rsid w:val="46CE293D"/>
    <w:rsid w:val="490D48D1"/>
    <w:rsid w:val="49FE1F7F"/>
    <w:rsid w:val="4BAF2F80"/>
    <w:rsid w:val="4C063247"/>
    <w:rsid w:val="4FBC57E4"/>
    <w:rsid w:val="51AA6D19"/>
    <w:rsid w:val="527172F8"/>
    <w:rsid w:val="52B75D6D"/>
    <w:rsid w:val="56F8306B"/>
    <w:rsid w:val="58EA4153"/>
    <w:rsid w:val="5B48040C"/>
    <w:rsid w:val="5B765C1B"/>
    <w:rsid w:val="5BB9615C"/>
    <w:rsid w:val="5C5C3B4F"/>
    <w:rsid w:val="672D5212"/>
    <w:rsid w:val="68387E4A"/>
    <w:rsid w:val="6B573F32"/>
    <w:rsid w:val="75B27696"/>
    <w:rsid w:val="787D7AAA"/>
    <w:rsid w:val="7BB1477B"/>
    <w:rsid w:val="7DB969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116"/>
      <w:outlineLvl w:val="0"/>
    </w:pPr>
    <w:rPr>
      <w:b/>
      <w:bCs/>
      <w:sz w:val="21"/>
      <w:szCs w:val="21"/>
      <w:u w:val="single" w:color="00000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2"/>
    </w:pPr>
    <w:rPr>
      <w:sz w:val="21"/>
      <w:szCs w:val="21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qFormat/>
    <w:uiPriority w:val="10"/>
    <w:pPr>
      <w:spacing w:before="41"/>
      <w:ind w:left="116"/>
    </w:pPr>
    <w:rPr>
      <w:b/>
      <w:bCs/>
      <w:sz w:val="32"/>
      <w:szCs w:val="32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43"/>
      <w:ind w:left="1062" w:hanging="523"/>
    </w:pPr>
  </w:style>
  <w:style w:type="paragraph" w:customStyle="1" w:styleId="12">
    <w:name w:val="Table Paragraph"/>
    <w:basedOn w:val="1"/>
    <w:qFormat/>
    <w:uiPriority w:val="1"/>
    <w:pPr>
      <w:spacing w:before="51"/>
      <w:ind w:left="115"/>
    </w:pPr>
    <w:rPr>
      <w:rFonts w:ascii="Times New Roman" w:hAnsi="Times New Roman" w:eastAsia="Times New Roman" w:cs="Times New Roman"/>
    </w:rPr>
  </w:style>
  <w:style w:type="character" w:customStyle="1" w:styleId="13">
    <w:name w:val="页眉 字符"/>
    <w:basedOn w:val="9"/>
    <w:link w:val="6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5">
    <w:name w:val="批注框文本 字符"/>
    <w:basedOn w:val="9"/>
    <w:link w:val="4"/>
    <w:semiHidden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810</Words>
  <Characters>1119</Characters>
  <Lines>12</Lines>
  <Paragraphs>3</Paragraphs>
  <TotalTime>24</TotalTime>
  <ScaleCrop>false</ScaleCrop>
  <LinksUpToDate>false</LinksUpToDate>
  <CharactersWithSpaces>1200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2021-08-04T06:33:00Z</dcterms:created>
  <dc:creator>AutoBVT</dc:creator>
  <cp:lastModifiedBy>寒冰雪</cp:lastModifiedBy>
  <cp:lastPrinted>2021-12-15T01:24:00Z</cp:lastPrinted>
  <dcterms:modified xsi:type="dcterms:W3CDTF">2023-02-14T06:52:17Z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2020-11-10T00:00:00Z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DA52D21F17514C3BB7148697D447493A</vt:lpwstr>
  </property>
</Properties>
</file>